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bookmarkStart w:id="0" w:name="_Toc9224"/>
      <w:r>
        <w:rPr>
          <w:rFonts w:ascii="黑体" w:hAnsi="黑体" w:eastAsia="黑体" w:cs="黑体"/>
          <w:b/>
          <w:color w:val="000000"/>
          <w:sz w:val="44"/>
        </w:rPr>
        <w:t>2022年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bookmarkEnd w:id="0"/>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rPr>
          <w:rFonts w:ascii="方正楷体_GBK" w:hAnsi="方正楷体_GBK" w:eastAsia="方正楷体_GBK" w:cs="方正楷体_GBK"/>
          <w:b/>
          <w:color w:val="000000"/>
          <w:sz w:val="28"/>
        </w:rPr>
      </w:pPr>
    </w:p>
    <w:sdt>
      <w:sdtPr>
        <w:rPr>
          <w:rFonts w:ascii="宋体" w:hAnsi="宋体" w:eastAsia="宋体" w:cstheme="minorBidi"/>
          <w:kern w:val="2"/>
          <w:sz w:val="21"/>
          <w:szCs w:val="24"/>
          <w:lang w:val="en-US" w:eastAsia="zh-CN" w:bidi="ar-SA"/>
        </w:rPr>
        <w:id w:val="147463848"/>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after="0" w:line="240" w:lineRule="auto"/>
            <w:ind w:firstLine="0"/>
            <w:jc w:val="left"/>
            <w:outlineLvl w:val="9"/>
          </w:pPr>
          <w:bookmarkStart w:id="1" w:name="_Toc15651"/>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7"/>
            <w:tabs>
              <w:tab w:val="right" w:leader="dot" w:pos="14800"/>
            </w:tabs>
          </w:pPr>
          <w:r>
            <w:fldChar w:fldCharType="begin"/>
          </w:r>
          <w:r>
            <w:instrText xml:space="preserve">TOC \o "1-1" \h \u </w:instrText>
          </w:r>
          <w:r>
            <w:fldChar w:fldCharType="separate"/>
          </w:r>
          <w:r>
            <w:fldChar w:fldCharType="begin"/>
          </w:r>
          <w:r>
            <w:instrText xml:space="preserve"> HYPERLINK \l _Toc21983 </w:instrText>
          </w:r>
          <w:r>
            <w:fldChar w:fldCharType="separate"/>
          </w:r>
          <w:r>
            <w:rPr>
              <w:rFonts w:ascii="方正小标宋_GBK" w:hAnsi="方正小标宋_GBK" w:eastAsia="方正小标宋_GBK" w:cs="方正小标宋_GBK"/>
            </w:rPr>
            <w:t>单位预算收支总表</w:t>
          </w:r>
          <w:r>
            <w:tab/>
          </w:r>
          <w:r>
            <w:fldChar w:fldCharType="begin"/>
          </w:r>
          <w:r>
            <w:instrText xml:space="preserve"> PAGEREF _Toc21983 </w:instrText>
          </w:r>
          <w:r>
            <w:fldChar w:fldCharType="separate"/>
          </w:r>
          <w:r>
            <w:t>2</w:t>
          </w:r>
          <w:r>
            <w:fldChar w:fldCharType="end"/>
          </w:r>
          <w:r>
            <w:fldChar w:fldCharType="end"/>
          </w:r>
        </w:p>
        <w:p>
          <w:pPr>
            <w:pStyle w:val="7"/>
            <w:tabs>
              <w:tab w:val="right" w:leader="dot" w:pos="14800"/>
            </w:tabs>
          </w:pPr>
          <w:r>
            <w:fldChar w:fldCharType="begin"/>
          </w:r>
          <w:r>
            <w:instrText xml:space="preserve"> HYPERLINK \l _Toc17588 </w:instrText>
          </w:r>
          <w:r>
            <w:fldChar w:fldCharType="separate"/>
          </w:r>
          <w:r>
            <w:rPr>
              <w:rFonts w:ascii="方正小标宋_GBK" w:hAnsi="方正小标宋_GBK" w:eastAsia="方正小标宋_GBK" w:cs="方正小标宋_GBK"/>
            </w:rPr>
            <w:t>单位预算收入总表</w:t>
          </w:r>
          <w:r>
            <w:tab/>
          </w:r>
          <w:r>
            <w:fldChar w:fldCharType="begin"/>
          </w:r>
          <w:r>
            <w:instrText xml:space="preserve"> PAGEREF _Toc17588 </w:instrText>
          </w:r>
          <w:r>
            <w:fldChar w:fldCharType="separate"/>
          </w:r>
          <w:r>
            <w:t>7</w:t>
          </w:r>
          <w:r>
            <w:fldChar w:fldCharType="end"/>
          </w:r>
          <w:r>
            <w:fldChar w:fldCharType="end"/>
          </w:r>
        </w:p>
        <w:p>
          <w:pPr>
            <w:pStyle w:val="7"/>
            <w:tabs>
              <w:tab w:val="right" w:leader="dot" w:pos="14800"/>
            </w:tabs>
          </w:pPr>
          <w:r>
            <w:fldChar w:fldCharType="begin"/>
          </w:r>
          <w:r>
            <w:instrText xml:space="preserve"> HYPERLINK \l _Toc2435 </w:instrText>
          </w:r>
          <w:r>
            <w:fldChar w:fldCharType="separate"/>
          </w:r>
          <w:r>
            <w:rPr>
              <w:rFonts w:ascii="方正小标宋_GBK" w:hAnsi="方正小标宋_GBK" w:eastAsia="方正小标宋_GBK" w:cs="方正小标宋_GBK"/>
            </w:rPr>
            <w:t>单位预算支出总表</w:t>
          </w:r>
          <w:r>
            <w:tab/>
          </w:r>
          <w:r>
            <w:fldChar w:fldCharType="begin"/>
          </w:r>
          <w:r>
            <w:instrText xml:space="preserve"> PAGEREF _Toc2435 </w:instrText>
          </w:r>
          <w:r>
            <w:fldChar w:fldCharType="separate"/>
          </w:r>
          <w:r>
            <w:t>9</w:t>
          </w:r>
          <w:r>
            <w:fldChar w:fldCharType="end"/>
          </w:r>
          <w:r>
            <w:fldChar w:fldCharType="end"/>
          </w:r>
        </w:p>
        <w:p>
          <w:pPr>
            <w:pStyle w:val="7"/>
            <w:tabs>
              <w:tab w:val="right" w:leader="dot" w:pos="14800"/>
            </w:tabs>
          </w:pPr>
          <w:r>
            <w:fldChar w:fldCharType="begin"/>
          </w:r>
          <w:r>
            <w:instrText xml:space="preserve"> HYPERLINK \l _Toc796 </w:instrText>
          </w:r>
          <w:r>
            <w:fldChar w:fldCharType="separate"/>
          </w:r>
          <w:r>
            <w:rPr>
              <w:rFonts w:ascii="方正小标宋_GBK" w:hAnsi="方正小标宋_GBK" w:eastAsia="方正小标宋_GBK" w:cs="方正小标宋_GBK"/>
            </w:rPr>
            <w:t>单位预算财政拨款收支总表</w:t>
          </w:r>
          <w:r>
            <w:tab/>
          </w:r>
          <w:r>
            <w:fldChar w:fldCharType="begin"/>
          </w:r>
          <w:r>
            <w:instrText xml:space="preserve"> PAGEREF _Toc796 </w:instrText>
          </w:r>
          <w:r>
            <w:fldChar w:fldCharType="separate"/>
          </w:r>
          <w:r>
            <w:t>11</w:t>
          </w:r>
          <w:r>
            <w:fldChar w:fldCharType="end"/>
          </w:r>
          <w:r>
            <w:fldChar w:fldCharType="end"/>
          </w:r>
        </w:p>
        <w:p>
          <w:pPr>
            <w:pStyle w:val="7"/>
            <w:tabs>
              <w:tab w:val="right" w:leader="dot" w:pos="14800"/>
            </w:tabs>
          </w:pPr>
          <w:r>
            <w:fldChar w:fldCharType="begin"/>
          </w:r>
          <w:r>
            <w:instrText xml:space="preserve"> HYPERLINK \l _Toc2673 </w:instrText>
          </w:r>
          <w:r>
            <w:fldChar w:fldCharType="separate"/>
          </w:r>
          <w:r>
            <w:rPr>
              <w:rFonts w:ascii="方正小标宋_GBK" w:hAnsi="方正小标宋_GBK" w:eastAsia="方正小标宋_GBK" w:cs="方正小标宋_GBK"/>
            </w:rPr>
            <w:t>单位预算一般公共预算财政拨款支出表</w:t>
          </w:r>
          <w:r>
            <w:tab/>
          </w:r>
          <w:r>
            <w:fldChar w:fldCharType="begin"/>
          </w:r>
          <w:r>
            <w:instrText xml:space="preserve"> PAGEREF _Toc2673 </w:instrText>
          </w:r>
          <w:r>
            <w:fldChar w:fldCharType="separate"/>
          </w:r>
          <w:r>
            <w:t>24</w:t>
          </w:r>
          <w:r>
            <w:fldChar w:fldCharType="end"/>
          </w:r>
          <w:r>
            <w:fldChar w:fldCharType="end"/>
          </w:r>
        </w:p>
        <w:p>
          <w:pPr>
            <w:pStyle w:val="7"/>
            <w:tabs>
              <w:tab w:val="right" w:leader="dot" w:pos="14800"/>
            </w:tabs>
          </w:pPr>
          <w:r>
            <w:fldChar w:fldCharType="begin"/>
          </w:r>
          <w:r>
            <w:instrText xml:space="preserve"> HYPERLINK \l _Toc29569 </w:instrText>
          </w:r>
          <w:r>
            <w:fldChar w:fldCharType="separate"/>
          </w:r>
          <w:r>
            <w:rPr>
              <w:rFonts w:ascii="方正小标宋_GBK" w:hAnsi="方正小标宋_GBK" w:eastAsia="方正小标宋_GBK" w:cs="方正小标宋_GBK"/>
            </w:rPr>
            <w:t>单位预算一般公共预算财政拨款基本支出表</w:t>
          </w:r>
          <w:r>
            <w:tab/>
          </w:r>
          <w:r>
            <w:fldChar w:fldCharType="begin"/>
          </w:r>
          <w:r>
            <w:instrText xml:space="preserve"> PAGEREF _Toc29569 </w:instrText>
          </w:r>
          <w:r>
            <w:fldChar w:fldCharType="separate"/>
          </w:r>
          <w:r>
            <w:t>25</w:t>
          </w:r>
          <w:r>
            <w:fldChar w:fldCharType="end"/>
          </w:r>
          <w:r>
            <w:fldChar w:fldCharType="end"/>
          </w:r>
        </w:p>
        <w:p>
          <w:pPr>
            <w:pStyle w:val="7"/>
            <w:tabs>
              <w:tab w:val="right" w:leader="dot" w:pos="14800"/>
            </w:tabs>
          </w:pPr>
          <w:r>
            <w:fldChar w:fldCharType="begin"/>
          </w:r>
          <w:r>
            <w:instrText xml:space="preserve"> HYPERLINK \l _Toc26835 </w:instrText>
          </w:r>
          <w:r>
            <w:fldChar w:fldCharType="separate"/>
          </w:r>
          <w:r>
            <w:rPr>
              <w:rFonts w:ascii="方正小标宋_GBK" w:hAnsi="方正小标宋_GBK" w:eastAsia="方正小标宋_GBK" w:cs="方正小标宋_GBK"/>
            </w:rPr>
            <w:t>单位预算政府基金预算财政拨款支出表</w:t>
          </w:r>
          <w:r>
            <w:tab/>
          </w:r>
          <w:r>
            <w:fldChar w:fldCharType="begin"/>
          </w:r>
          <w:r>
            <w:instrText xml:space="preserve"> PAGEREF _Toc26835 </w:instrText>
          </w:r>
          <w:r>
            <w:fldChar w:fldCharType="separate"/>
          </w:r>
          <w:r>
            <w:t>26</w:t>
          </w:r>
          <w:r>
            <w:fldChar w:fldCharType="end"/>
          </w:r>
          <w:r>
            <w:fldChar w:fldCharType="end"/>
          </w:r>
        </w:p>
        <w:p>
          <w:pPr>
            <w:pStyle w:val="7"/>
            <w:tabs>
              <w:tab w:val="right" w:leader="dot" w:pos="14800"/>
            </w:tabs>
          </w:pPr>
          <w:r>
            <w:fldChar w:fldCharType="begin"/>
          </w:r>
          <w:r>
            <w:instrText xml:space="preserve"> HYPERLINK \l _Toc11851 </w:instrText>
          </w:r>
          <w:r>
            <w:fldChar w:fldCharType="separate"/>
          </w:r>
          <w:r>
            <w:rPr>
              <w:rFonts w:ascii="方正小标宋_GBK" w:hAnsi="方正小标宋_GBK" w:eastAsia="方正小标宋_GBK" w:cs="方正小标宋_GBK"/>
            </w:rPr>
            <w:t>单位预算国有资本经营预算财政拨款支出表</w:t>
          </w:r>
          <w:r>
            <w:tab/>
          </w:r>
          <w:r>
            <w:fldChar w:fldCharType="begin"/>
          </w:r>
          <w:r>
            <w:instrText xml:space="preserve"> PAGEREF _Toc11851 </w:instrText>
          </w:r>
          <w:r>
            <w:fldChar w:fldCharType="separate"/>
          </w:r>
          <w:r>
            <w:t>27</w:t>
          </w:r>
          <w:r>
            <w:fldChar w:fldCharType="end"/>
          </w:r>
          <w:r>
            <w:fldChar w:fldCharType="end"/>
          </w:r>
        </w:p>
        <w:p>
          <w:pPr>
            <w:pStyle w:val="7"/>
            <w:tabs>
              <w:tab w:val="right" w:leader="dot" w:pos="14800"/>
            </w:tabs>
          </w:pPr>
          <w:r>
            <w:fldChar w:fldCharType="begin"/>
          </w:r>
          <w:r>
            <w:instrText xml:space="preserve"> HYPERLINK \l _Toc2251 </w:instrText>
          </w:r>
          <w:r>
            <w:fldChar w:fldCharType="separate"/>
          </w:r>
          <w:r>
            <w:rPr>
              <w:rFonts w:ascii="方正小标宋_GBK" w:hAnsi="方正小标宋_GBK" w:eastAsia="方正小标宋_GBK" w:cs="方正小标宋_GBK"/>
            </w:rPr>
            <w:t>单位预算财政拨款“三公”经费支出表</w:t>
          </w:r>
          <w:r>
            <w:tab/>
          </w:r>
          <w:r>
            <w:fldChar w:fldCharType="begin"/>
          </w:r>
          <w:r>
            <w:instrText xml:space="preserve"> PAGEREF _Toc2251 </w:instrText>
          </w:r>
          <w:r>
            <w:fldChar w:fldCharType="separate"/>
          </w:r>
          <w:r>
            <w:t>28</w:t>
          </w:r>
          <w:r>
            <w:fldChar w:fldCharType="end"/>
          </w:r>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800"/>
            </w:tabs>
          </w:pPr>
          <w:r>
            <w:fldChar w:fldCharType="begin"/>
          </w:r>
          <w:r>
            <w:instrText xml:space="preserve"> HYPERLINK \l _Toc26370 </w:instrText>
          </w:r>
          <w:r>
            <w:fldChar w:fldCharType="separate"/>
          </w:r>
          <w:r>
            <w:rPr>
              <w:rFonts w:ascii="黑体" w:hAnsi="黑体" w:eastAsia="黑体" w:cs="黑体"/>
            </w:rPr>
            <w:t>一、单位职责及机构设置情况</w:t>
          </w:r>
          <w:r>
            <w:tab/>
          </w:r>
          <w:r>
            <w:fldChar w:fldCharType="begin"/>
          </w:r>
          <w:r>
            <w:instrText xml:space="preserve"> PAGEREF _Toc26370 </w:instrText>
          </w:r>
          <w:r>
            <w:fldChar w:fldCharType="separate"/>
          </w:r>
          <w:r>
            <w:t>29</w:t>
          </w:r>
          <w:r>
            <w:fldChar w:fldCharType="end"/>
          </w:r>
          <w:r>
            <w:fldChar w:fldCharType="end"/>
          </w:r>
        </w:p>
        <w:p>
          <w:pPr>
            <w:pStyle w:val="7"/>
            <w:tabs>
              <w:tab w:val="right" w:leader="dot" w:pos="14800"/>
            </w:tabs>
          </w:pPr>
          <w:r>
            <w:fldChar w:fldCharType="begin"/>
          </w:r>
          <w:r>
            <w:instrText xml:space="preserve"> HYPERLINK \l _Toc30699 </w:instrText>
          </w:r>
          <w:r>
            <w:fldChar w:fldCharType="separate"/>
          </w:r>
          <w:r>
            <w:rPr>
              <w:rFonts w:ascii="黑体" w:hAnsi="黑体" w:eastAsia="黑体" w:cs="黑体"/>
            </w:rPr>
            <w:t>二、单位预算安排的总体情况</w:t>
          </w:r>
          <w:r>
            <w:tab/>
          </w:r>
          <w:r>
            <w:fldChar w:fldCharType="begin"/>
          </w:r>
          <w:r>
            <w:instrText xml:space="preserve"> PAGEREF _Toc30699 </w:instrText>
          </w:r>
          <w:r>
            <w:fldChar w:fldCharType="separate"/>
          </w:r>
          <w:r>
            <w:t>35</w:t>
          </w:r>
          <w:r>
            <w:fldChar w:fldCharType="end"/>
          </w:r>
          <w:r>
            <w:fldChar w:fldCharType="end"/>
          </w:r>
        </w:p>
        <w:p>
          <w:pPr>
            <w:pStyle w:val="7"/>
            <w:tabs>
              <w:tab w:val="right" w:leader="dot" w:pos="14800"/>
            </w:tabs>
          </w:pPr>
          <w:r>
            <w:fldChar w:fldCharType="begin"/>
          </w:r>
          <w:r>
            <w:instrText xml:space="preserve"> HYPERLINK \l _Toc9330 </w:instrText>
          </w:r>
          <w:r>
            <w:fldChar w:fldCharType="separate"/>
          </w:r>
          <w:r>
            <w:rPr>
              <w:rFonts w:hint="eastAsia" w:ascii="黑体" w:hAnsi="黑体" w:eastAsia="黑体" w:cs="黑体"/>
            </w:rPr>
            <w:t xml:space="preserve">三、 </w:t>
          </w:r>
          <w:r>
            <w:rPr>
              <w:rFonts w:ascii="黑体" w:hAnsi="黑体" w:eastAsia="黑体" w:cs="黑体"/>
            </w:rPr>
            <w:t>机关运行经费安排情况</w:t>
          </w:r>
          <w:r>
            <w:tab/>
          </w:r>
          <w:r>
            <w:fldChar w:fldCharType="begin"/>
          </w:r>
          <w:r>
            <w:instrText xml:space="preserve"> PAGEREF _Toc9330 </w:instrText>
          </w:r>
          <w:r>
            <w:fldChar w:fldCharType="separate"/>
          </w:r>
          <w:r>
            <w:t>36</w:t>
          </w:r>
          <w:r>
            <w:fldChar w:fldCharType="end"/>
          </w:r>
          <w:r>
            <w:fldChar w:fldCharType="end"/>
          </w:r>
        </w:p>
        <w:p>
          <w:pPr>
            <w:pStyle w:val="7"/>
            <w:tabs>
              <w:tab w:val="right" w:leader="dot" w:pos="14800"/>
            </w:tabs>
          </w:pPr>
          <w:r>
            <w:fldChar w:fldCharType="begin"/>
          </w:r>
          <w:r>
            <w:instrText xml:space="preserve"> HYPERLINK \l _Toc6985 </w:instrText>
          </w:r>
          <w:r>
            <w:fldChar w:fldCharType="separate"/>
          </w:r>
          <w:r>
            <w:rPr>
              <w:rFonts w:hint="eastAsia" w:ascii="黑体" w:hAnsi="黑体" w:eastAsia="黑体" w:cs="黑体"/>
            </w:rPr>
            <w:t xml:space="preserve">四、 </w:t>
          </w:r>
          <w:r>
            <w:rPr>
              <w:rFonts w:ascii="黑体" w:hAnsi="黑体" w:eastAsia="黑体" w:cs="黑体"/>
            </w:rPr>
            <w:t>财政拨款“三公”经费预算情况及增减变化原因</w:t>
          </w:r>
          <w:r>
            <w:tab/>
          </w:r>
          <w:r>
            <w:fldChar w:fldCharType="begin"/>
          </w:r>
          <w:r>
            <w:instrText xml:space="preserve"> PAGEREF _Toc6985 </w:instrText>
          </w:r>
          <w:r>
            <w:fldChar w:fldCharType="separate"/>
          </w:r>
          <w:r>
            <w:t>36</w:t>
          </w:r>
          <w:r>
            <w:fldChar w:fldCharType="end"/>
          </w:r>
          <w:r>
            <w:fldChar w:fldCharType="end"/>
          </w:r>
        </w:p>
        <w:p>
          <w:pPr>
            <w:pStyle w:val="7"/>
            <w:tabs>
              <w:tab w:val="right" w:leader="dot" w:pos="14800"/>
            </w:tabs>
          </w:pPr>
          <w:r>
            <w:fldChar w:fldCharType="begin"/>
          </w:r>
          <w:r>
            <w:instrText xml:space="preserve"> HYPERLINK \l _Toc13036 </w:instrText>
          </w:r>
          <w:r>
            <w:fldChar w:fldCharType="separate"/>
          </w:r>
          <w:r>
            <w:rPr>
              <w:rFonts w:hint="eastAsia" w:ascii="黑体" w:hAnsi="黑体" w:eastAsia="黑体" w:cs="黑体"/>
            </w:rPr>
            <w:t xml:space="preserve">五、 </w:t>
          </w:r>
          <w:r>
            <w:rPr>
              <w:rFonts w:ascii="黑体" w:hAnsi="黑体" w:eastAsia="黑体" w:cs="黑体"/>
              <w:bCs/>
            </w:rPr>
            <w:t>预算绩效</w:t>
          </w:r>
          <w:r>
            <w:tab/>
          </w:r>
          <w:r>
            <w:fldChar w:fldCharType="begin"/>
          </w:r>
          <w:r>
            <w:instrText xml:space="preserve"> PAGEREF _Toc13036 </w:instrText>
          </w:r>
          <w:r>
            <w:fldChar w:fldCharType="separate"/>
          </w:r>
          <w:r>
            <w:t>37</w:t>
          </w:r>
          <w:r>
            <w:fldChar w:fldCharType="end"/>
          </w:r>
          <w:r>
            <w:fldChar w:fldCharType="end"/>
          </w:r>
        </w:p>
        <w:p>
          <w:pPr>
            <w:pStyle w:val="7"/>
            <w:tabs>
              <w:tab w:val="right" w:leader="dot" w:pos="14800"/>
            </w:tabs>
          </w:pPr>
          <w:r>
            <w:fldChar w:fldCharType="begin"/>
          </w:r>
          <w:r>
            <w:instrText xml:space="preserve"> HYPERLINK \l _Toc25405 </w:instrText>
          </w:r>
          <w:r>
            <w:fldChar w:fldCharType="separate"/>
          </w:r>
          <w:r>
            <w:rPr>
              <w:rFonts w:ascii="黑体" w:hAnsi="黑体" w:eastAsia="黑体" w:cs="黑体"/>
            </w:rPr>
            <w:t>六、政府采购预算情况</w:t>
          </w:r>
          <w:r>
            <w:tab/>
          </w:r>
          <w:r>
            <w:fldChar w:fldCharType="begin"/>
          </w:r>
          <w:r>
            <w:instrText xml:space="preserve"> PAGEREF _Toc25405 </w:instrText>
          </w:r>
          <w:r>
            <w:fldChar w:fldCharType="separate"/>
          </w:r>
          <w:r>
            <w:t>38</w:t>
          </w:r>
          <w:r>
            <w:fldChar w:fldCharType="end"/>
          </w:r>
          <w:r>
            <w:fldChar w:fldCharType="end"/>
          </w:r>
        </w:p>
        <w:p>
          <w:pPr>
            <w:pStyle w:val="7"/>
            <w:tabs>
              <w:tab w:val="right" w:leader="dot" w:pos="14800"/>
            </w:tabs>
          </w:pPr>
          <w:r>
            <w:fldChar w:fldCharType="begin"/>
          </w:r>
          <w:r>
            <w:instrText xml:space="preserve"> HYPERLINK \l _Toc27019 </w:instrText>
          </w:r>
          <w:r>
            <w:fldChar w:fldCharType="separate"/>
          </w:r>
          <w:r>
            <w:rPr>
              <w:rFonts w:ascii="黑体" w:hAnsi="黑体" w:eastAsia="黑体" w:cs="黑体"/>
            </w:rPr>
            <w:t>七、国有资产信息</w:t>
          </w:r>
          <w:r>
            <w:tab/>
          </w:r>
          <w:r>
            <w:fldChar w:fldCharType="begin"/>
          </w:r>
          <w:r>
            <w:instrText xml:space="preserve"> PAGEREF _Toc27019 </w:instrText>
          </w:r>
          <w:r>
            <w:fldChar w:fldCharType="separate"/>
          </w:r>
          <w:r>
            <w:t>39</w:t>
          </w:r>
          <w:r>
            <w:fldChar w:fldCharType="end"/>
          </w:r>
          <w:r>
            <w:fldChar w:fldCharType="end"/>
          </w:r>
        </w:p>
        <w:p>
          <w:pPr>
            <w:pStyle w:val="7"/>
            <w:tabs>
              <w:tab w:val="right" w:leader="dot" w:pos="14800"/>
            </w:tabs>
          </w:pPr>
          <w:r>
            <w:fldChar w:fldCharType="begin"/>
          </w:r>
          <w:r>
            <w:instrText xml:space="preserve"> HYPERLINK \l _Toc23056 </w:instrText>
          </w:r>
          <w:r>
            <w:fldChar w:fldCharType="separate"/>
          </w:r>
          <w:r>
            <w:rPr>
              <w:rFonts w:ascii="黑体" w:hAnsi="黑体" w:eastAsia="黑体" w:cs="黑体"/>
            </w:rPr>
            <w:t>八、名词解释</w:t>
          </w:r>
          <w:r>
            <w:tab/>
          </w:r>
          <w:r>
            <w:fldChar w:fldCharType="begin"/>
          </w:r>
          <w:r>
            <w:instrText xml:space="preserve"> PAGEREF _Toc23056 </w:instrText>
          </w:r>
          <w:r>
            <w:fldChar w:fldCharType="separate"/>
          </w:r>
          <w:r>
            <w:t>40</w:t>
          </w:r>
          <w:r>
            <w:fldChar w:fldCharType="end"/>
          </w:r>
          <w:r>
            <w:fldChar w:fldCharType="end"/>
          </w:r>
        </w:p>
        <w:p>
          <w:pPr>
            <w:pStyle w:val="7"/>
            <w:tabs>
              <w:tab w:val="right" w:leader="dot" w:pos="14800"/>
            </w:tabs>
          </w:pPr>
          <w:r>
            <w:fldChar w:fldCharType="begin"/>
          </w:r>
          <w:r>
            <w:instrText xml:space="preserve"> HYPERLINK \l _Toc25255 </w:instrText>
          </w:r>
          <w:r>
            <w:fldChar w:fldCharType="separate"/>
          </w:r>
          <w:r>
            <w:rPr>
              <w:rFonts w:ascii="黑体" w:hAnsi="黑体" w:eastAsia="黑体" w:cs="黑体"/>
            </w:rPr>
            <w:t>九、其他需要说明的事项</w:t>
          </w:r>
          <w:r>
            <w:tab/>
          </w:r>
          <w:r>
            <w:fldChar w:fldCharType="begin"/>
          </w:r>
          <w:r>
            <w:instrText xml:space="preserve"> PAGEREF _Toc25255 </w:instrText>
          </w:r>
          <w:r>
            <w:fldChar w:fldCharType="separate"/>
          </w:r>
          <w:r>
            <w:t>41</w:t>
          </w:r>
          <w:r>
            <w:fldChar w:fldCharType="end"/>
          </w:r>
          <w:r>
            <w:fldChar w:fldCharType="end"/>
          </w:r>
        </w:p>
        <w:p>
          <w:r>
            <w:fldChar w:fldCharType="end"/>
          </w:r>
        </w:p>
      </w:sdtContent>
    </w:sdt>
    <w:bookmarkEnd w:id="1"/>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2" w:name="_Toc21983"/>
      <w:r>
        <w:rPr>
          <w:rFonts w:ascii="方正小标宋_GBK" w:hAnsi="方正小标宋_GBK" w:eastAsia="方正小标宋_GBK" w:cs="方正小标宋_GBK"/>
          <w:color w:val="000000"/>
          <w:sz w:val="36"/>
        </w:rPr>
        <w:t>单位预算收支总表</w:t>
      </w:r>
      <w:bookmarkEnd w:id="2"/>
    </w:p>
    <w:tbl>
      <w:tblPr>
        <w:tblStyle w:val="9"/>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800011霸州市东杨庄乡卫生院</w:t>
            </w:r>
          </w:p>
        </w:tc>
        <w:tc>
          <w:tcPr>
            <w:tcW w:w="2959" w:type="dxa"/>
            <w:tcBorders>
              <w:top w:val="single" w:color="FFFFFF" w:sz="6" w:space="0"/>
              <w:left w:val="single" w:color="FFFFFF" w:sz="6" w:space="0"/>
              <w:right w:val="single" w:color="FFFFFF" w:sz="6" w:space="0"/>
            </w:tcBorders>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5918" w:type="dxa"/>
            <w:gridSpan w:val="2"/>
            <w:tcBorders>
              <w:top w:val="single" w:color="FFFFFF" w:sz="6" w:space="0"/>
              <w:left w:val="single" w:color="FFFFFF" w:sz="6" w:space="0"/>
              <w:right w:val="single" w:color="FFFFFF" w:sz="6" w:space="0"/>
            </w:tcBorders>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序号</w:t>
            </w:r>
          </w:p>
        </w:tc>
        <w:tc>
          <w:tcPr>
            <w:tcW w:w="5918" w:type="dxa"/>
            <w:gridSpan w:val="2"/>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收入</w:t>
            </w:r>
          </w:p>
        </w:tc>
        <w:tc>
          <w:tcPr>
            <w:tcW w:w="5918" w:type="dxa"/>
            <w:gridSpan w:val="2"/>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项  目</w:t>
            </w:r>
          </w:p>
        </w:tc>
        <w:tc>
          <w:tcPr>
            <w:tcW w:w="2959"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预算数</w:t>
            </w:r>
          </w:p>
        </w:tc>
        <w:tc>
          <w:tcPr>
            <w:tcW w:w="2959"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项  目</w:t>
            </w:r>
          </w:p>
        </w:tc>
        <w:tc>
          <w:tcPr>
            <w:tcW w:w="2959"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栏次</w:t>
            </w:r>
          </w:p>
        </w:tc>
        <w:tc>
          <w:tcPr>
            <w:tcW w:w="2959"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1</w:t>
            </w:r>
          </w:p>
        </w:tc>
        <w:tc>
          <w:tcPr>
            <w:tcW w:w="2959"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2</w:t>
            </w:r>
          </w:p>
        </w:tc>
        <w:tc>
          <w:tcPr>
            <w:tcW w:w="2959"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3</w:t>
            </w:r>
          </w:p>
        </w:tc>
        <w:tc>
          <w:tcPr>
            <w:tcW w:w="2959"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1</w:t>
            </w: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一、一般公共预算拨款收入</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194.96</w:t>
            </w: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一、一般公共服务支出</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2</w:t>
            </w: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二、政府性基金预算拨款收入</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二、外交支出</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3</w:t>
            </w: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三、国有资本经营预算拨款收入</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三、国防支出</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4</w:t>
            </w: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四、财政专户管理资金收入</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四、公共安全支出</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5</w:t>
            </w: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五、事业收入</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五、教育支出</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6</w:t>
            </w: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六、事业单位经营收入</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六、科学技术支出</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7</w:t>
            </w: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七、上级补助收入</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七、文化旅游体育与传媒支出</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8</w:t>
            </w: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八、附属单位上缴收入</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八、社会保障和就业支出</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9</w:t>
            </w: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九、其他收入</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九、社会保险基金支出</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10</w:t>
            </w: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十、卫生健康支出</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194.96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11</w:t>
            </w: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十一、节能环保支出</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12</w:t>
            </w: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十二、城乡社区支出</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13</w:t>
            </w: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十三、农林水支出</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14</w:t>
            </w: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十四、交通运输支出</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15</w:t>
            </w: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十五、资源勘探工业信息等支出</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16</w:t>
            </w: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十六、商业服务业等支出</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17</w:t>
            </w: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十七、金融支出</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18</w:t>
            </w: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十八、援助其他地区支出</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19</w:t>
            </w: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十九、自然资源海洋气象等支出</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20</w:t>
            </w: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二十、住房保障支出</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21</w:t>
            </w: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二十一、粮油物资储备支出</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22</w:t>
            </w: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二十二、国有资本经营预算支出</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23</w:t>
            </w: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二十三、灾害防治及应急管理支出</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24</w:t>
            </w: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二十四、预备费</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25</w:t>
            </w: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二十五、其他支出</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26</w:t>
            </w: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二十六、转移性支出</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27</w:t>
            </w: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二十七、债务还本支出</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28</w:t>
            </w: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二十八、债务付息支出</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29</w:t>
            </w: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二十九、债务发行费用支出</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30</w:t>
            </w: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三十、抗疫特别国债安排的支出</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31</w:t>
            </w:r>
          </w:p>
        </w:tc>
        <w:tc>
          <w:tcPr>
            <w:tcW w:w="2959" w:type="dxa"/>
            <w:vAlign w:val="center"/>
          </w:tcPr>
          <w:p>
            <w:pPr>
              <w:pStyle w:val="18"/>
              <w:keepNext w:val="0"/>
              <w:keepLines w:val="0"/>
              <w:pageBreakBefore w:val="0"/>
              <w:kinsoku/>
              <w:wordWrap/>
              <w:overflowPunct/>
              <w:topLinePunct w:val="0"/>
              <w:autoSpaceDE/>
              <w:autoSpaceDN/>
              <w:bidi w:val="0"/>
              <w:adjustRightInd/>
              <w:snapToGrid/>
              <w:spacing w:line="360" w:lineRule="auto"/>
              <w:textAlignment w:val="auto"/>
            </w:pPr>
            <w:r>
              <w:t>本年收入合计</w:t>
            </w:r>
          </w:p>
        </w:tc>
        <w:tc>
          <w:tcPr>
            <w:tcW w:w="2959"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r>
              <w:t>194.96</w:t>
            </w:r>
          </w:p>
        </w:tc>
        <w:tc>
          <w:tcPr>
            <w:tcW w:w="2959" w:type="dxa"/>
            <w:vAlign w:val="center"/>
          </w:tcPr>
          <w:p>
            <w:pPr>
              <w:pStyle w:val="18"/>
              <w:keepNext w:val="0"/>
              <w:keepLines w:val="0"/>
              <w:pageBreakBefore w:val="0"/>
              <w:kinsoku/>
              <w:wordWrap/>
              <w:overflowPunct/>
              <w:topLinePunct w:val="0"/>
              <w:autoSpaceDE/>
              <w:autoSpaceDN/>
              <w:bidi w:val="0"/>
              <w:adjustRightInd/>
              <w:snapToGrid/>
              <w:spacing w:line="360" w:lineRule="auto"/>
              <w:textAlignment w:val="auto"/>
            </w:pPr>
            <w:r>
              <w:t>本年支出合计</w:t>
            </w:r>
          </w:p>
        </w:tc>
        <w:tc>
          <w:tcPr>
            <w:tcW w:w="2959"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r>
              <w:t>194.96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32</w:t>
            </w: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上年结转结余</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年终结转结余</w:t>
            </w:r>
          </w:p>
        </w:tc>
        <w:tc>
          <w:tcPr>
            <w:tcW w:w="295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33</w:t>
            </w:r>
          </w:p>
        </w:tc>
        <w:tc>
          <w:tcPr>
            <w:tcW w:w="2959" w:type="dxa"/>
            <w:vAlign w:val="center"/>
          </w:tcPr>
          <w:p>
            <w:pPr>
              <w:pStyle w:val="18"/>
              <w:keepNext w:val="0"/>
              <w:keepLines w:val="0"/>
              <w:pageBreakBefore w:val="0"/>
              <w:kinsoku/>
              <w:wordWrap/>
              <w:overflowPunct/>
              <w:topLinePunct w:val="0"/>
              <w:autoSpaceDE/>
              <w:autoSpaceDN/>
              <w:bidi w:val="0"/>
              <w:adjustRightInd/>
              <w:snapToGrid/>
              <w:spacing w:line="360" w:lineRule="auto"/>
              <w:textAlignment w:val="auto"/>
            </w:pPr>
            <w:r>
              <w:t>收入总计</w:t>
            </w:r>
          </w:p>
        </w:tc>
        <w:tc>
          <w:tcPr>
            <w:tcW w:w="2959"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r>
              <w:t>194.96</w:t>
            </w:r>
          </w:p>
        </w:tc>
        <w:tc>
          <w:tcPr>
            <w:tcW w:w="2959" w:type="dxa"/>
            <w:vAlign w:val="center"/>
          </w:tcPr>
          <w:p>
            <w:pPr>
              <w:pStyle w:val="18"/>
              <w:keepNext w:val="0"/>
              <w:keepLines w:val="0"/>
              <w:pageBreakBefore w:val="0"/>
              <w:kinsoku/>
              <w:wordWrap/>
              <w:overflowPunct/>
              <w:topLinePunct w:val="0"/>
              <w:autoSpaceDE/>
              <w:autoSpaceDN/>
              <w:bidi w:val="0"/>
              <w:adjustRightInd/>
              <w:snapToGrid/>
              <w:spacing w:line="360" w:lineRule="auto"/>
              <w:textAlignment w:val="auto"/>
            </w:pPr>
            <w:r>
              <w:t>支出总计</w:t>
            </w:r>
          </w:p>
        </w:tc>
        <w:tc>
          <w:tcPr>
            <w:tcW w:w="2959"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r>
              <w:t>194.96</w:t>
            </w:r>
          </w:p>
        </w:tc>
      </w:tr>
    </w:tbl>
    <w:p>
      <w:pPr>
        <w:keepNext w:val="0"/>
        <w:keepLines w:val="0"/>
        <w:pageBreakBefore w:val="0"/>
        <w:kinsoku/>
        <w:wordWrap/>
        <w:overflowPunct/>
        <w:topLinePunct w:val="0"/>
        <w:autoSpaceDE/>
        <w:autoSpaceDN/>
        <w:bidi w:val="0"/>
        <w:adjustRightInd/>
        <w:snapToGrid/>
        <w:spacing w:line="360" w:lineRule="auto"/>
        <w:textAlignment w:val="auto"/>
        <w:sectPr>
          <w:pgSz w:w="16840" w:h="11900" w:orient="landscape"/>
          <w:pgMar w:top="1361" w:right="1020" w:bottom="1134" w:left="1020" w:header="720" w:footer="720" w:gutter="0"/>
          <w:cols w:space="720" w:num="1"/>
        </w:sect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3" w:name="_Toc17588"/>
      <w:r>
        <w:rPr>
          <w:rFonts w:ascii="方正小标宋_GBK" w:hAnsi="方正小标宋_GBK" w:eastAsia="方正小标宋_GBK" w:cs="方正小标宋_GBK"/>
          <w:color w:val="000000"/>
          <w:sz w:val="36"/>
        </w:rPr>
        <w:t>单位预算收入总表</w:t>
      </w:r>
      <w:bookmarkEnd w:id="3"/>
    </w:p>
    <w:tbl>
      <w:tblPr>
        <w:tblStyle w:val="9"/>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800011霸州市东杨庄乡卫生院</w:t>
            </w:r>
          </w:p>
        </w:tc>
        <w:tc>
          <w:tcPr>
            <w:tcW w:w="2274" w:type="dxa"/>
            <w:gridSpan w:val="3"/>
            <w:tcBorders>
              <w:top w:val="single" w:color="FFFFFF" w:sz="6" w:space="0"/>
              <w:left w:val="single" w:color="FFFFFF" w:sz="6" w:space="0"/>
              <w:right w:val="single" w:color="FFFFFF" w:sz="6" w:space="0"/>
            </w:tcBorders>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序号</w:t>
            </w:r>
          </w:p>
        </w:tc>
        <w:tc>
          <w:tcPr>
            <w:tcW w:w="1516" w:type="dxa"/>
            <w:gridSpan w:val="2"/>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功能分类科目</w:t>
            </w:r>
          </w:p>
        </w:tc>
        <w:tc>
          <w:tcPr>
            <w:tcW w:w="758" w:type="dxa"/>
            <w:vMerge w:val="restart"/>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合计</w:t>
            </w:r>
          </w:p>
        </w:tc>
        <w:tc>
          <w:tcPr>
            <w:tcW w:w="6064" w:type="dxa"/>
            <w:gridSpan w:val="8"/>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本年收入</w:t>
            </w:r>
          </w:p>
        </w:tc>
        <w:tc>
          <w:tcPr>
            <w:tcW w:w="758" w:type="dxa"/>
            <w:vMerge w:val="restart"/>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科目    编码</w:t>
            </w: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科目名称</w:t>
            </w:r>
          </w:p>
        </w:tc>
        <w:tc>
          <w:tcPr>
            <w:tcW w:w="758"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小计</w:t>
            </w: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财政拨款 收入</w:t>
            </w: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财政专户 收入</w:t>
            </w: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事业收入</w:t>
            </w: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经营收入</w:t>
            </w: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上级补助收入</w:t>
            </w: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附属单位上缴收入</w:t>
            </w: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其他收入</w:t>
            </w:r>
          </w:p>
        </w:tc>
        <w:tc>
          <w:tcPr>
            <w:tcW w:w="758"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栏次</w:t>
            </w: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1</w:t>
            </w: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2</w:t>
            </w: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3</w:t>
            </w: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4</w:t>
            </w: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5</w:t>
            </w: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6</w:t>
            </w: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7</w:t>
            </w: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8</w:t>
            </w: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9</w:t>
            </w: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10</w:t>
            </w: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11</w:t>
            </w: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1</w:t>
            </w:r>
          </w:p>
        </w:tc>
        <w:tc>
          <w:tcPr>
            <w:tcW w:w="758" w:type="dxa"/>
            <w:vAlign w:val="center"/>
          </w:tcPr>
          <w:p>
            <w:pPr>
              <w:pStyle w:val="20"/>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8"/>
              <w:keepNext w:val="0"/>
              <w:keepLines w:val="0"/>
              <w:pageBreakBefore w:val="0"/>
              <w:kinsoku/>
              <w:wordWrap/>
              <w:overflowPunct/>
              <w:topLinePunct w:val="0"/>
              <w:autoSpaceDE/>
              <w:autoSpaceDN/>
              <w:bidi w:val="0"/>
              <w:adjustRightInd/>
              <w:snapToGrid/>
              <w:spacing w:line="360" w:lineRule="auto"/>
              <w:textAlignment w:val="auto"/>
            </w:pPr>
            <w:r>
              <w:t>合计</w:t>
            </w:r>
          </w:p>
        </w:tc>
        <w:tc>
          <w:tcPr>
            <w:tcW w:w="758"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r>
              <w:t>194.96</w:t>
            </w:r>
          </w:p>
        </w:tc>
        <w:tc>
          <w:tcPr>
            <w:tcW w:w="758"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r>
              <w:t>194.96</w:t>
            </w:r>
          </w:p>
        </w:tc>
        <w:tc>
          <w:tcPr>
            <w:tcW w:w="758"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r>
              <w:t>194.96</w:t>
            </w:r>
          </w:p>
        </w:tc>
        <w:tc>
          <w:tcPr>
            <w:tcW w:w="758"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2</w:t>
            </w:r>
          </w:p>
        </w:tc>
        <w:tc>
          <w:tcPr>
            <w:tcW w:w="758"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210</w:t>
            </w:r>
          </w:p>
        </w:tc>
        <w:tc>
          <w:tcPr>
            <w:tcW w:w="758"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卫生健康支出</w:t>
            </w: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194.96</w:t>
            </w: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194.96</w:t>
            </w: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194.96</w:t>
            </w: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3</w:t>
            </w:r>
          </w:p>
        </w:tc>
        <w:tc>
          <w:tcPr>
            <w:tcW w:w="758"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21003</w:t>
            </w:r>
          </w:p>
        </w:tc>
        <w:tc>
          <w:tcPr>
            <w:tcW w:w="758"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基层医疗卫生机构</w:t>
            </w: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181.96</w:t>
            </w: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181.96</w:t>
            </w: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181.96</w:t>
            </w: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4</w:t>
            </w:r>
          </w:p>
        </w:tc>
        <w:tc>
          <w:tcPr>
            <w:tcW w:w="758"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2100302</w:t>
            </w:r>
          </w:p>
        </w:tc>
        <w:tc>
          <w:tcPr>
            <w:tcW w:w="758"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乡镇卫生院</w:t>
            </w: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181.96</w:t>
            </w: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181.96</w:t>
            </w: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181.96</w:t>
            </w: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5</w:t>
            </w:r>
          </w:p>
        </w:tc>
        <w:tc>
          <w:tcPr>
            <w:tcW w:w="758"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21006</w:t>
            </w:r>
          </w:p>
        </w:tc>
        <w:tc>
          <w:tcPr>
            <w:tcW w:w="758"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中医药</w:t>
            </w: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13.00</w:t>
            </w: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13.00</w:t>
            </w: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13.00</w:t>
            </w: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6</w:t>
            </w:r>
          </w:p>
        </w:tc>
        <w:tc>
          <w:tcPr>
            <w:tcW w:w="758"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2100699</w:t>
            </w:r>
          </w:p>
        </w:tc>
        <w:tc>
          <w:tcPr>
            <w:tcW w:w="758"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其他中医药支出</w:t>
            </w: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13.00</w:t>
            </w: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13.00</w:t>
            </w: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13.00</w:t>
            </w: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line="360" w:lineRule="auto"/>
        <w:textAlignment w:val="auto"/>
        <w:sectPr>
          <w:pgSz w:w="16840" w:h="11900" w:orient="landscape"/>
          <w:pgMar w:top="1361" w:right="1020" w:bottom="1134" w:left="1020" w:header="720" w:footer="720" w:gutter="0"/>
          <w:cols w:space="720" w:num="1"/>
        </w:sect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4" w:name="_Toc2435"/>
      <w:r>
        <w:rPr>
          <w:rFonts w:ascii="方正小标宋_GBK" w:hAnsi="方正小标宋_GBK" w:eastAsia="方正小标宋_GBK" w:cs="方正小标宋_GBK"/>
          <w:color w:val="000000"/>
          <w:sz w:val="36"/>
        </w:rPr>
        <w:t>单位预算支出总表</w:t>
      </w:r>
      <w:bookmarkEnd w:id="4"/>
    </w:p>
    <w:tbl>
      <w:tblPr>
        <w:tblStyle w:val="9"/>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800011霸州市东杨庄乡卫生院</w:t>
            </w:r>
          </w:p>
        </w:tc>
        <w:tc>
          <w:tcPr>
            <w:tcW w:w="2190" w:type="dxa"/>
            <w:gridSpan w:val="2"/>
            <w:tcBorders>
              <w:top w:val="single" w:color="FFFFFF" w:sz="6" w:space="0"/>
              <w:left w:val="single" w:color="FFFFFF" w:sz="6" w:space="0"/>
              <w:right w:val="single" w:color="FFFFFF" w:sz="6" w:space="0"/>
            </w:tcBorders>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序号</w:t>
            </w:r>
          </w:p>
        </w:tc>
        <w:tc>
          <w:tcPr>
            <w:tcW w:w="2190" w:type="dxa"/>
            <w:gridSpan w:val="2"/>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功能分类科目</w:t>
            </w:r>
          </w:p>
        </w:tc>
        <w:tc>
          <w:tcPr>
            <w:tcW w:w="1095" w:type="dxa"/>
            <w:vMerge w:val="restart"/>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095" w:type="dxa"/>
            <w:vMerge w:val="restart"/>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基本支出</w:t>
            </w:r>
          </w:p>
        </w:tc>
        <w:tc>
          <w:tcPr>
            <w:tcW w:w="1095" w:type="dxa"/>
            <w:vMerge w:val="restart"/>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项目支出</w:t>
            </w:r>
          </w:p>
        </w:tc>
        <w:tc>
          <w:tcPr>
            <w:tcW w:w="1095" w:type="dxa"/>
            <w:vMerge w:val="restart"/>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经营支出</w:t>
            </w:r>
          </w:p>
        </w:tc>
        <w:tc>
          <w:tcPr>
            <w:tcW w:w="1095" w:type="dxa"/>
            <w:vMerge w:val="restart"/>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上解上级     支出</w:t>
            </w:r>
          </w:p>
        </w:tc>
        <w:tc>
          <w:tcPr>
            <w:tcW w:w="1095" w:type="dxa"/>
            <w:vMerge w:val="restart"/>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科目    编码</w:t>
            </w:r>
          </w:p>
        </w:tc>
        <w:tc>
          <w:tcPr>
            <w:tcW w:w="1095"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科目名称</w:t>
            </w:r>
          </w:p>
        </w:tc>
        <w:tc>
          <w:tcPr>
            <w:tcW w:w="1095"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095"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095"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095"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095"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095"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栏次</w:t>
            </w:r>
          </w:p>
        </w:tc>
        <w:tc>
          <w:tcPr>
            <w:tcW w:w="1095"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1</w:t>
            </w:r>
          </w:p>
        </w:tc>
        <w:tc>
          <w:tcPr>
            <w:tcW w:w="1095"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2</w:t>
            </w:r>
          </w:p>
        </w:tc>
        <w:tc>
          <w:tcPr>
            <w:tcW w:w="1095"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3</w:t>
            </w:r>
          </w:p>
        </w:tc>
        <w:tc>
          <w:tcPr>
            <w:tcW w:w="1095"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4</w:t>
            </w:r>
          </w:p>
        </w:tc>
        <w:tc>
          <w:tcPr>
            <w:tcW w:w="1095"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5</w:t>
            </w:r>
          </w:p>
        </w:tc>
        <w:tc>
          <w:tcPr>
            <w:tcW w:w="1095"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6</w:t>
            </w:r>
          </w:p>
        </w:tc>
        <w:tc>
          <w:tcPr>
            <w:tcW w:w="1095"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7</w:t>
            </w:r>
          </w:p>
        </w:tc>
        <w:tc>
          <w:tcPr>
            <w:tcW w:w="1095"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1</w:t>
            </w:r>
          </w:p>
        </w:tc>
        <w:tc>
          <w:tcPr>
            <w:tcW w:w="1095" w:type="dxa"/>
            <w:vAlign w:val="center"/>
          </w:tcPr>
          <w:p>
            <w:pPr>
              <w:pStyle w:val="20"/>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8"/>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095"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r>
              <w:t>194.96</w:t>
            </w:r>
          </w:p>
        </w:tc>
        <w:tc>
          <w:tcPr>
            <w:tcW w:w="1095"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r>
              <w:t>181.96</w:t>
            </w:r>
          </w:p>
        </w:tc>
        <w:tc>
          <w:tcPr>
            <w:tcW w:w="1095"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r>
              <w:t>13.00</w:t>
            </w:r>
          </w:p>
        </w:tc>
        <w:tc>
          <w:tcPr>
            <w:tcW w:w="1095"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2</w:t>
            </w:r>
          </w:p>
        </w:tc>
        <w:tc>
          <w:tcPr>
            <w:tcW w:w="1095"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210</w:t>
            </w:r>
          </w:p>
        </w:tc>
        <w:tc>
          <w:tcPr>
            <w:tcW w:w="1095"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卫生健康支出</w:t>
            </w:r>
          </w:p>
        </w:tc>
        <w:tc>
          <w:tcPr>
            <w:tcW w:w="1095"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194.96</w:t>
            </w:r>
          </w:p>
        </w:tc>
        <w:tc>
          <w:tcPr>
            <w:tcW w:w="1095"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181.96</w:t>
            </w:r>
          </w:p>
        </w:tc>
        <w:tc>
          <w:tcPr>
            <w:tcW w:w="1095"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13.00</w:t>
            </w:r>
          </w:p>
        </w:tc>
        <w:tc>
          <w:tcPr>
            <w:tcW w:w="1095"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3</w:t>
            </w:r>
          </w:p>
        </w:tc>
        <w:tc>
          <w:tcPr>
            <w:tcW w:w="1095"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21003</w:t>
            </w:r>
          </w:p>
        </w:tc>
        <w:tc>
          <w:tcPr>
            <w:tcW w:w="1095"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基层医疗卫生机构</w:t>
            </w:r>
          </w:p>
        </w:tc>
        <w:tc>
          <w:tcPr>
            <w:tcW w:w="1095"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181.96</w:t>
            </w:r>
          </w:p>
        </w:tc>
        <w:tc>
          <w:tcPr>
            <w:tcW w:w="1095"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181.96</w:t>
            </w:r>
          </w:p>
        </w:tc>
        <w:tc>
          <w:tcPr>
            <w:tcW w:w="1095"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4</w:t>
            </w:r>
          </w:p>
        </w:tc>
        <w:tc>
          <w:tcPr>
            <w:tcW w:w="1095"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2100302</w:t>
            </w:r>
          </w:p>
        </w:tc>
        <w:tc>
          <w:tcPr>
            <w:tcW w:w="1095"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乡镇卫生院</w:t>
            </w:r>
          </w:p>
        </w:tc>
        <w:tc>
          <w:tcPr>
            <w:tcW w:w="1095"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181.96</w:t>
            </w:r>
          </w:p>
        </w:tc>
        <w:tc>
          <w:tcPr>
            <w:tcW w:w="1095"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181.96</w:t>
            </w:r>
          </w:p>
        </w:tc>
        <w:tc>
          <w:tcPr>
            <w:tcW w:w="1095"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5</w:t>
            </w:r>
          </w:p>
        </w:tc>
        <w:tc>
          <w:tcPr>
            <w:tcW w:w="1095"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21006</w:t>
            </w:r>
          </w:p>
        </w:tc>
        <w:tc>
          <w:tcPr>
            <w:tcW w:w="1095"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中医药</w:t>
            </w:r>
          </w:p>
        </w:tc>
        <w:tc>
          <w:tcPr>
            <w:tcW w:w="1095"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13.00</w:t>
            </w:r>
          </w:p>
        </w:tc>
        <w:tc>
          <w:tcPr>
            <w:tcW w:w="1095"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13.00</w:t>
            </w:r>
          </w:p>
        </w:tc>
        <w:tc>
          <w:tcPr>
            <w:tcW w:w="1095"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6</w:t>
            </w:r>
          </w:p>
        </w:tc>
        <w:tc>
          <w:tcPr>
            <w:tcW w:w="1095"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2100699</w:t>
            </w:r>
          </w:p>
        </w:tc>
        <w:tc>
          <w:tcPr>
            <w:tcW w:w="1095"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其他中医药支出</w:t>
            </w:r>
          </w:p>
        </w:tc>
        <w:tc>
          <w:tcPr>
            <w:tcW w:w="1095"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13.00</w:t>
            </w:r>
          </w:p>
        </w:tc>
        <w:tc>
          <w:tcPr>
            <w:tcW w:w="1095"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13.00</w:t>
            </w:r>
          </w:p>
        </w:tc>
        <w:tc>
          <w:tcPr>
            <w:tcW w:w="1095"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line="360" w:lineRule="auto"/>
        <w:textAlignment w:val="auto"/>
        <w:sectPr>
          <w:pgSz w:w="16840" w:h="11900" w:orient="landscape"/>
          <w:pgMar w:top="1361" w:right="1020" w:bottom="1134" w:left="1020" w:header="720" w:footer="720" w:gutter="0"/>
          <w:cols w:space="720" w:num="1"/>
        </w:sect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5" w:name="_Toc796"/>
      <w:r>
        <w:rPr>
          <w:rFonts w:ascii="方正小标宋_GBK" w:hAnsi="方正小标宋_GBK" w:eastAsia="方正小标宋_GBK" w:cs="方正小标宋_GBK"/>
          <w:color w:val="000000"/>
          <w:sz w:val="36"/>
        </w:rPr>
        <w:t>单位预算财政拨款收支总表</w:t>
      </w:r>
      <w:bookmarkEnd w:id="5"/>
    </w:p>
    <w:tbl>
      <w:tblPr>
        <w:tblStyle w:val="9"/>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800011霸州市东杨庄乡卫生院</w:t>
            </w:r>
          </w:p>
        </w:tc>
        <w:tc>
          <w:tcPr>
            <w:tcW w:w="1232" w:type="dxa"/>
            <w:tcBorders>
              <w:top w:val="single" w:color="FFFFFF" w:sz="6" w:space="0"/>
              <w:left w:val="single" w:color="FFFFFF" w:sz="6" w:space="0"/>
              <w:right w:val="single" w:color="FFFFFF" w:sz="6" w:space="0"/>
            </w:tcBorders>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序号</w:t>
            </w:r>
          </w:p>
        </w:tc>
        <w:tc>
          <w:tcPr>
            <w:tcW w:w="2464" w:type="dxa"/>
            <w:gridSpan w:val="2"/>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收入</w:t>
            </w:r>
          </w:p>
        </w:tc>
        <w:tc>
          <w:tcPr>
            <w:tcW w:w="6160" w:type="dxa"/>
            <w:gridSpan w:val="5"/>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项  目</w:t>
            </w:r>
          </w:p>
        </w:tc>
        <w:tc>
          <w:tcPr>
            <w:tcW w:w="123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金额</w:t>
            </w:r>
          </w:p>
        </w:tc>
        <w:tc>
          <w:tcPr>
            <w:tcW w:w="123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项  目</w:t>
            </w:r>
          </w:p>
        </w:tc>
        <w:tc>
          <w:tcPr>
            <w:tcW w:w="123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23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一般公共预算财政拨款</w:t>
            </w:r>
          </w:p>
        </w:tc>
        <w:tc>
          <w:tcPr>
            <w:tcW w:w="123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政府性基金预算财政    拨款</w:t>
            </w:r>
          </w:p>
        </w:tc>
        <w:tc>
          <w:tcPr>
            <w:tcW w:w="123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栏次</w:t>
            </w:r>
          </w:p>
        </w:tc>
        <w:tc>
          <w:tcPr>
            <w:tcW w:w="123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1</w:t>
            </w:r>
          </w:p>
        </w:tc>
        <w:tc>
          <w:tcPr>
            <w:tcW w:w="123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2</w:t>
            </w:r>
          </w:p>
        </w:tc>
        <w:tc>
          <w:tcPr>
            <w:tcW w:w="123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3</w:t>
            </w:r>
          </w:p>
        </w:tc>
        <w:tc>
          <w:tcPr>
            <w:tcW w:w="123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4</w:t>
            </w:r>
          </w:p>
        </w:tc>
        <w:tc>
          <w:tcPr>
            <w:tcW w:w="123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5</w:t>
            </w:r>
          </w:p>
        </w:tc>
        <w:tc>
          <w:tcPr>
            <w:tcW w:w="123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6</w:t>
            </w:r>
          </w:p>
        </w:tc>
        <w:tc>
          <w:tcPr>
            <w:tcW w:w="123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1</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一、一般公共预算拨款</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194.96</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一、一般公共服务支出</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2</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二、政府性基金预算拨款</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二、外交支出</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3</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三、国有资本经营预算拨款</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三、国防支出</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4</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四、公共安全支出</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5</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五、教育支出</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6</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六、科学技术支出</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7</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七、文化旅游体育与传媒支出</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8</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八、社会保障和就业支出</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9</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九、社会保险基金支出</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10</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十、卫生健康支出</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194.96</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194.96</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11</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十一、节能环保支出</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12</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十二、城乡社区支出</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13</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十三、农林水支出</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14</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十四、交通运输支出</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15</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十五、资源勘探工业信息等支出</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16</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十六、商业服务业等支出</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17</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十七、金融支出</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18</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十八、援助其他地区支出</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19</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十九、自然资源海洋气象等支出</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20</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二十、住房保障支出</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21</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二十一、粮油物资储备支出</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22</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二十二、国有资本经营预算支出</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23</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二十三、灾害防治及应急管理支出</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24</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二十四、预备费</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25</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二十五、其他支出</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26</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二十六、转移性支出</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27</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二十七、债务还本支出</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28</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二十八、债务付息支出</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29</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二十九、债务发行费用支出</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30</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三十、抗疫特别国债安排的支出</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31</w:t>
            </w:r>
          </w:p>
        </w:tc>
        <w:tc>
          <w:tcPr>
            <w:tcW w:w="1232" w:type="dxa"/>
            <w:vAlign w:val="center"/>
          </w:tcPr>
          <w:p>
            <w:pPr>
              <w:pStyle w:val="18"/>
              <w:keepNext w:val="0"/>
              <w:keepLines w:val="0"/>
              <w:pageBreakBefore w:val="0"/>
              <w:kinsoku/>
              <w:wordWrap/>
              <w:overflowPunct/>
              <w:topLinePunct w:val="0"/>
              <w:autoSpaceDE/>
              <w:autoSpaceDN/>
              <w:bidi w:val="0"/>
              <w:adjustRightInd/>
              <w:snapToGrid/>
              <w:spacing w:line="360" w:lineRule="auto"/>
              <w:textAlignment w:val="auto"/>
            </w:pPr>
            <w:r>
              <w:t>本年收入合计</w:t>
            </w:r>
          </w:p>
        </w:tc>
        <w:tc>
          <w:tcPr>
            <w:tcW w:w="1232"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r>
              <w:t>194.96</w:t>
            </w:r>
          </w:p>
        </w:tc>
        <w:tc>
          <w:tcPr>
            <w:tcW w:w="1232" w:type="dxa"/>
            <w:vAlign w:val="center"/>
          </w:tcPr>
          <w:p>
            <w:pPr>
              <w:pStyle w:val="18"/>
              <w:keepNext w:val="0"/>
              <w:keepLines w:val="0"/>
              <w:pageBreakBefore w:val="0"/>
              <w:kinsoku/>
              <w:wordWrap/>
              <w:overflowPunct/>
              <w:topLinePunct w:val="0"/>
              <w:autoSpaceDE/>
              <w:autoSpaceDN/>
              <w:bidi w:val="0"/>
              <w:adjustRightInd/>
              <w:snapToGrid/>
              <w:spacing w:line="360" w:lineRule="auto"/>
              <w:textAlignment w:val="auto"/>
            </w:pPr>
            <w:r>
              <w:t>本年支出合计</w:t>
            </w:r>
          </w:p>
        </w:tc>
        <w:tc>
          <w:tcPr>
            <w:tcW w:w="1232"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r>
              <w:t>194.96</w:t>
            </w:r>
          </w:p>
        </w:tc>
        <w:tc>
          <w:tcPr>
            <w:tcW w:w="1232"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r>
              <w:t>194.96</w:t>
            </w:r>
          </w:p>
        </w:tc>
        <w:tc>
          <w:tcPr>
            <w:tcW w:w="1232"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32</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年初财政拨款结转和结余</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年末财政拨款结转和结余</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33</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一、一般公共预算拨款</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34</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二、政府性基金预算拨款</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35</w:t>
            </w: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三、国有资本经营预算拨款</w:t>
            </w: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36</w:t>
            </w:r>
          </w:p>
        </w:tc>
        <w:tc>
          <w:tcPr>
            <w:tcW w:w="1232" w:type="dxa"/>
            <w:vAlign w:val="center"/>
          </w:tcPr>
          <w:p>
            <w:pPr>
              <w:pStyle w:val="18"/>
              <w:keepNext w:val="0"/>
              <w:keepLines w:val="0"/>
              <w:pageBreakBefore w:val="0"/>
              <w:kinsoku/>
              <w:wordWrap/>
              <w:overflowPunct/>
              <w:topLinePunct w:val="0"/>
              <w:autoSpaceDE/>
              <w:autoSpaceDN/>
              <w:bidi w:val="0"/>
              <w:adjustRightInd/>
              <w:snapToGrid/>
              <w:spacing w:line="360" w:lineRule="auto"/>
              <w:textAlignment w:val="auto"/>
            </w:pPr>
            <w:r>
              <w:t>收入总计</w:t>
            </w:r>
          </w:p>
        </w:tc>
        <w:tc>
          <w:tcPr>
            <w:tcW w:w="1232"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r>
              <w:t>194.96</w:t>
            </w:r>
          </w:p>
        </w:tc>
        <w:tc>
          <w:tcPr>
            <w:tcW w:w="1232" w:type="dxa"/>
            <w:vAlign w:val="center"/>
          </w:tcPr>
          <w:p>
            <w:pPr>
              <w:pStyle w:val="18"/>
              <w:keepNext w:val="0"/>
              <w:keepLines w:val="0"/>
              <w:pageBreakBefore w:val="0"/>
              <w:kinsoku/>
              <w:wordWrap/>
              <w:overflowPunct/>
              <w:topLinePunct w:val="0"/>
              <w:autoSpaceDE/>
              <w:autoSpaceDN/>
              <w:bidi w:val="0"/>
              <w:adjustRightInd/>
              <w:snapToGrid/>
              <w:spacing w:line="360" w:lineRule="auto"/>
              <w:textAlignment w:val="auto"/>
            </w:pPr>
            <w:r>
              <w:t>支出总计</w:t>
            </w:r>
          </w:p>
        </w:tc>
        <w:tc>
          <w:tcPr>
            <w:tcW w:w="1232"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r>
              <w:t>194.96</w:t>
            </w:r>
          </w:p>
        </w:tc>
        <w:tc>
          <w:tcPr>
            <w:tcW w:w="1232"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r>
              <w:t>194.96</w:t>
            </w:r>
          </w:p>
        </w:tc>
        <w:tc>
          <w:tcPr>
            <w:tcW w:w="1232"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line="360" w:lineRule="auto"/>
        <w:textAlignment w:val="auto"/>
        <w:sectPr>
          <w:pgSz w:w="16840" w:h="11900" w:orient="landscape"/>
          <w:pgMar w:top="1361" w:right="1020" w:bottom="1134" w:left="1020" w:header="720" w:footer="720" w:gutter="0"/>
          <w:cols w:space="720" w:num="1"/>
        </w:sect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6" w:name="_Toc2673"/>
      <w:r>
        <w:rPr>
          <w:rFonts w:ascii="方正小标宋_GBK" w:hAnsi="方正小标宋_GBK" w:eastAsia="方正小标宋_GBK" w:cs="方正小标宋_GBK"/>
          <w:color w:val="000000"/>
          <w:sz w:val="36"/>
        </w:rPr>
        <w:t>单位预算一般公共预算财政拨款支出表</w:t>
      </w:r>
      <w:bookmarkEnd w:id="6"/>
    </w:p>
    <w:tbl>
      <w:tblPr>
        <w:tblStyle w:val="9"/>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987"/>
        <w:gridCol w:w="1299"/>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273" w:type="dxa"/>
            <w:gridSpan w:val="3"/>
            <w:tcBorders>
              <w:top w:val="single" w:color="FFFFFF" w:sz="6" w:space="0"/>
              <w:left w:val="single" w:color="FFFFFF" w:sz="6" w:space="0"/>
              <w:right w:val="single" w:color="FFFFFF" w:sz="6" w:space="0"/>
            </w:tcBorders>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800011霸州市东杨庄乡卫生院</w:t>
            </w:r>
          </w:p>
        </w:tc>
        <w:tc>
          <w:tcPr>
            <w:tcW w:w="1299" w:type="dxa"/>
            <w:tcBorders>
              <w:top w:val="single" w:color="FFFFFF" w:sz="6" w:space="0"/>
              <w:left w:val="single" w:color="FFFFFF" w:sz="6" w:space="0"/>
              <w:right w:val="single" w:color="FFFFFF" w:sz="6" w:space="0"/>
            </w:tcBorders>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序号</w:t>
            </w:r>
          </w:p>
        </w:tc>
        <w:tc>
          <w:tcPr>
            <w:tcW w:w="3630" w:type="dxa"/>
            <w:gridSpan w:val="2"/>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功能分类科目</w:t>
            </w:r>
          </w:p>
        </w:tc>
        <w:tc>
          <w:tcPr>
            <w:tcW w:w="1299" w:type="dxa"/>
            <w:vMerge w:val="restart"/>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643" w:type="dxa"/>
            <w:vMerge w:val="restart"/>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基本支出</w:t>
            </w:r>
          </w:p>
        </w:tc>
        <w:tc>
          <w:tcPr>
            <w:tcW w:w="1643" w:type="dxa"/>
            <w:vMerge w:val="restart"/>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科目编码</w:t>
            </w:r>
          </w:p>
        </w:tc>
        <w:tc>
          <w:tcPr>
            <w:tcW w:w="1987"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科目名称</w:t>
            </w:r>
          </w:p>
        </w:tc>
        <w:tc>
          <w:tcPr>
            <w:tcW w:w="1299"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栏次</w:t>
            </w: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1</w:t>
            </w:r>
          </w:p>
        </w:tc>
        <w:tc>
          <w:tcPr>
            <w:tcW w:w="1987"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2</w:t>
            </w:r>
          </w:p>
        </w:tc>
        <w:tc>
          <w:tcPr>
            <w:tcW w:w="1299"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3</w:t>
            </w: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4</w:t>
            </w: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1</w:t>
            </w:r>
          </w:p>
        </w:tc>
        <w:tc>
          <w:tcPr>
            <w:tcW w:w="1643" w:type="dxa"/>
            <w:vAlign w:val="center"/>
          </w:tcPr>
          <w:p>
            <w:pPr>
              <w:pStyle w:val="20"/>
              <w:keepNext w:val="0"/>
              <w:keepLines w:val="0"/>
              <w:pageBreakBefore w:val="0"/>
              <w:kinsoku/>
              <w:wordWrap/>
              <w:overflowPunct/>
              <w:topLinePunct w:val="0"/>
              <w:autoSpaceDE/>
              <w:autoSpaceDN/>
              <w:bidi w:val="0"/>
              <w:adjustRightInd/>
              <w:snapToGrid/>
              <w:spacing w:line="360" w:lineRule="auto"/>
              <w:textAlignment w:val="auto"/>
            </w:pPr>
          </w:p>
        </w:tc>
        <w:tc>
          <w:tcPr>
            <w:tcW w:w="1987" w:type="dxa"/>
            <w:vAlign w:val="center"/>
          </w:tcPr>
          <w:p>
            <w:pPr>
              <w:pStyle w:val="18"/>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299"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r>
              <w:t>194.96</w:t>
            </w:r>
          </w:p>
        </w:tc>
        <w:tc>
          <w:tcPr>
            <w:tcW w:w="1643"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r>
              <w:t>181.96</w:t>
            </w:r>
          </w:p>
        </w:tc>
        <w:tc>
          <w:tcPr>
            <w:tcW w:w="1643"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2</w:t>
            </w:r>
          </w:p>
        </w:tc>
        <w:tc>
          <w:tcPr>
            <w:tcW w:w="1643"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210</w:t>
            </w:r>
          </w:p>
        </w:tc>
        <w:tc>
          <w:tcPr>
            <w:tcW w:w="1987"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卫生健康支出</w:t>
            </w:r>
          </w:p>
        </w:tc>
        <w:tc>
          <w:tcPr>
            <w:tcW w:w="129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194.96</w:t>
            </w:r>
          </w:p>
        </w:tc>
        <w:tc>
          <w:tcPr>
            <w:tcW w:w="164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181.96</w:t>
            </w:r>
          </w:p>
        </w:tc>
        <w:tc>
          <w:tcPr>
            <w:tcW w:w="164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3</w:t>
            </w:r>
          </w:p>
        </w:tc>
        <w:tc>
          <w:tcPr>
            <w:tcW w:w="1643"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21003</w:t>
            </w:r>
          </w:p>
        </w:tc>
        <w:tc>
          <w:tcPr>
            <w:tcW w:w="1987"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基层医疗卫生机构</w:t>
            </w:r>
          </w:p>
        </w:tc>
        <w:tc>
          <w:tcPr>
            <w:tcW w:w="129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181.96</w:t>
            </w:r>
          </w:p>
        </w:tc>
        <w:tc>
          <w:tcPr>
            <w:tcW w:w="164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181.96</w:t>
            </w:r>
          </w:p>
        </w:tc>
        <w:tc>
          <w:tcPr>
            <w:tcW w:w="164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4</w:t>
            </w:r>
          </w:p>
        </w:tc>
        <w:tc>
          <w:tcPr>
            <w:tcW w:w="1643"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2100302</w:t>
            </w:r>
          </w:p>
        </w:tc>
        <w:tc>
          <w:tcPr>
            <w:tcW w:w="1987"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乡镇卫生院</w:t>
            </w:r>
          </w:p>
        </w:tc>
        <w:tc>
          <w:tcPr>
            <w:tcW w:w="129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181.96</w:t>
            </w:r>
          </w:p>
        </w:tc>
        <w:tc>
          <w:tcPr>
            <w:tcW w:w="164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181.96</w:t>
            </w:r>
          </w:p>
        </w:tc>
        <w:tc>
          <w:tcPr>
            <w:tcW w:w="164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5</w:t>
            </w:r>
          </w:p>
        </w:tc>
        <w:tc>
          <w:tcPr>
            <w:tcW w:w="1643"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21006</w:t>
            </w:r>
          </w:p>
        </w:tc>
        <w:tc>
          <w:tcPr>
            <w:tcW w:w="1987"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中医药</w:t>
            </w:r>
          </w:p>
        </w:tc>
        <w:tc>
          <w:tcPr>
            <w:tcW w:w="129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13.00</w:t>
            </w:r>
          </w:p>
        </w:tc>
        <w:tc>
          <w:tcPr>
            <w:tcW w:w="164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6</w:t>
            </w:r>
          </w:p>
        </w:tc>
        <w:tc>
          <w:tcPr>
            <w:tcW w:w="1643"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2100699</w:t>
            </w:r>
          </w:p>
        </w:tc>
        <w:tc>
          <w:tcPr>
            <w:tcW w:w="1987"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其他中医药支出</w:t>
            </w:r>
          </w:p>
        </w:tc>
        <w:tc>
          <w:tcPr>
            <w:tcW w:w="1299"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13.00</w:t>
            </w:r>
          </w:p>
        </w:tc>
        <w:tc>
          <w:tcPr>
            <w:tcW w:w="164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13.00</w:t>
            </w:r>
          </w:p>
        </w:tc>
      </w:tr>
    </w:tbl>
    <w:p>
      <w:pPr>
        <w:keepNext w:val="0"/>
        <w:keepLines w:val="0"/>
        <w:pageBreakBefore w:val="0"/>
        <w:kinsoku/>
        <w:wordWrap/>
        <w:overflowPunct/>
        <w:topLinePunct w:val="0"/>
        <w:autoSpaceDE/>
        <w:autoSpaceDN/>
        <w:bidi w:val="0"/>
        <w:adjustRightInd/>
        <w:snapToGrid/>
        <w:spacing w:line="360" w:lineRule="auto"/>
        <w:textAlignment w:val="auto"/>
        <w:sectPr>
          <w:pgSz w:w="16840" w:h="11900" w:orient="landscape"/>
          <w:pgMar w:top="1361" w:right="1020" w:bottom="1134" w:left="1020" w:header="720" w:footer="720" w:gutter="0"/>
          <w:cols w:space="720" w:num="1"/>
        </w:sect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7" w:name="_Toc29569"/>
      <w:r>
        <w:rPr>
          <w:rFonts w:ascii="方正小标宋_GBK" w:hAnsi="方正小标宋_GBK" w:eastAsia="方正小标宋_GBK" w:cs="方正小标宋_GBK"/>
          <w:color w:val="000000"/>
          <w:sz w:val="36"/>
        </w:rPr>
        <w:t>单位预算一般公共预算财政拨款基本支出表</w:t>
      </w:r>
      <w:bookmarkEnd w:id="7"/>
    </w:p>
    <w:tbl>
      <w:tblPr>
        <w:tblStyle w:val="9"/>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800011霸州市东杨庄乡卫生院</w:t>
            </w:r>
          </w:p>
        </w:tc>
        <w:tc>
          <w:tcPr>
            <w:tcW w:w="1643" w:type="dxa"/>
            <w:tcBorders>
              <w:top w:val="single" w:color="FFFFFF" w:sz="6" w:space="0"/>
              <w:left w:val="single" w:color="FFFFFF" w:sz="6" w:space="0"/>
              <w:right w:val="single" w:color="FFFFFF" w:sz="6" w:space="0"/>
            </w:tcBorders>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序号</w:t>
            </w:r>
          </w:p>
        </w:tc>
        <w:tc>
          <w:tcPr>
            <w:tcW w:w="3286" w:type="dxa"/>
            <w:gridSpan w:val="2"/>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支出部门经济分类科目</w:t>
            </w:r>
          </w:p>
        </w:tc>
        <w:tc>
          <w:tcPr>
            <w:tcW w:w="4929" w:type="dxa"/>
            <w:gridSpan w:val="3"/>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科目编码</w:t>
            </w: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科目名称</w:t>
            </w: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人员经费</w:t>
            </w: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栏次</w:t>
            </w: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1</w:t>
            </w: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2</w:t>
            </w: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3</w:t>
            </w: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4</w:t>
            </w: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1</w:t>
            </w:r>
          </w:p>
        </w:tc>
        <w:tc>
          <w:tcPr>
            <w:tcW w:w="1643" w:type="dxa"/>
            <w:vAlign w:val="center"/>
          </w:tcPr>
          <w:p>
            <w:pPr>
              <w:pStyle w:val="20"/>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8"/>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643"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r>
              <w:t>181.96</w:t>
            </w:r>
          </w:p>
        </w:tc>
        <w:tc>
          <w:tcPr>
            <w:tcW w:w="1643"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r>
              <w:t>181.96</w:t>
            </w:r>
          </w:p>
        </w:tc>
        <w:tc>
          <w:tcPr>
            <w:tcW w:w="1643" w:type="dxa"/>
            <w:vAlign w:val="center"/>
          </w:tcPr>
          <w:p>
            <w:pPr>
              <w:pStyle w:val="19"/>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2</w:t>
            </w:r>
          </w:p>
        </w:tc>
        <w:tc>
          <w:tcPr>
            <w:tcW w:w="1643"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301</w:t>
            </w:r>
          </w:p>
        </w:tc>
        <w:tc>
          <w:tcPr>
            <w:tcW w:w="1643"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工资福利支出</w:t>
            </w:r>
          </w:p>
        </w:tc>
        <w:tc>
          <w:tcPr>
            <w:tcW w:w="164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158.75</w:t>
            </w:r>
          </w:p>
        </w:tc>
        <w:tc>
          <w:tcPr>
            <w:tcW w:w="164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158.75</w:t>
            </w:r>
          </w:p>
        </w:tc>
        <w:tc>
          <w:tcPr>
            <w:tcW w:w="164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3</w:t>
            </w:r>
          </w:p>
        </w:tc>
        <w:tc>
          <w:tcPr>
            <w:tcW w:w="1643"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30199</w:t>
            </w:r>
          </w:p>
        </w:tc>
        <w:tc>
          <w:tcPr>
            <w:tcW w:w="1643"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其他工资福利支出</w:t>
            </w:r>
          </w:p>
        </w:tc>
        <w:tc>
          <w:tcPr>
            <w:tcW w:w="164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158.75</w:t>
            </w:r>
          </w:p>
        </w:tc>
        <w:tc>
          <w:tcPr>
            <w:tcW w:w="164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158.75</w:t>
            </w:r>
          </w:p>
        </w:tc>
        <w:tc>
          <w:tcPr>
            <w:tcW w:w="164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4</w:t>
            </w:r>
          </w:p>
        </w:tc>
        <w:tc>
          <w:tcPr>
            <w:tcW w:w="1643"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303</w:t>
            </w:r>
          </w:p>
        </w:tc>
        <w:tc>
          <w:tcPr>
            <w:tcW w:w="1643"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对个人和家庭的补助</w:t>
            </w:r>
          </w:p>
        </w:tc>
        <w:tc>
          <w:tcPr>
            <w:tcW w:w="164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23.21</w:t>
            </w:r>
          </w:p>
        </w:tc>
        <w:tc>
          <w:tcPr>
            <w:tcW w:w="164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23.21</w:t>
            </w:r>
          </w:p>
        </w:tc>
        <w:tc>
          <w:tcPr>
            <w:tcW w:w="164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5</w:t>
            </w:r>
          </w:p>
        </w:tc>
        <w:tc>
          <w:tcPr>
            <w:tcW w:w="1643"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30302</w:t>
            </w:r>
          </w:p>
        </w:tc>
        <w:tc>
          <w:tcPr>
            <w:tcW w:w="1643"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退休费</w:t>
            </w:r>
          </w:p>
        </w:tc>
        <w:tc>
          <w:tcPr>
            <w:tcW w:w="164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23.21</w:t>
            </w:r>
          </w:p>
        </w:tc>
        <w:tc>
          <w:tcPr>
            <w:tcW w:w="164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r>
              <w:t>23.21</w:t>
            </w:r>
          </w:p>
        </w:tc>
        <w:tc>
          <w:tcPr>
            <w:tcW w:w="164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line="360" w:lineRule="auto"/>
        <w:textAlignment w:val="auto"/>
        <w:sectPr>
          <w:pgSz w:w="16840" w:h="11900" w:orient="landscape"/>
          <w:pgMar w:top="1361" w:right="1020" w:bottom="1134" w:left="1020" w:header="720" w:footer="720" w:gutter="0"/>
          <w:cols w:space="720" w:num="1"/>
        </w:sect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8" w:name="_Toc26835"/>
      <w:r>
        <w:rPr>
          <w:rFonts w:ascii="方正小标宋_GBK" w:hAnsi="方正小标宋_GBK" w:eastAsia="方正小标宋_GBK" w:cs="方正小标宋_GBK"/>
          <w:color w:val="000000"/>
          <w:sz w:val="36"/>
        </w:rPr>
        <w:t>单位预算政府基金预算财政拨款支出表</w:t>
      </w:r>
      <w:bookmarkEnd w:id="8"/>
    </w:p>
    <w:tbl>
      <w:tblPr>
        <w:tblStyle w:val="9"/>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800011霸州市东杨庄乡卫生院</w:t>
            </w:r>
          </w:p>
        </w:tc>
        <w:tc>
          <w:tcPr>
            <w:tcW w:w="1643" w:type="dxa"/>
            <w:tcBorders>
              <w:top w:val="single" w:color="FFFFFF" w:sz="6" w:space="0"/>
              <w:left w:val="single" w:color="FFFFFF" w:sz="6" w:space="0"/>
              <w:right w:val="single" w:color="FFFFFF" w:sz="6" w:space="0"/>
            </w:tcBorders>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序号</w:t>
            </w:r>
          </w:p>
        </w:tc>
        <w:tc>
          <w:tcPr>
            <w:tcW w:w="3286" w:type="dxa"/>
            <w:gridSpan w:val="2"/>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功能分类科目</w:t>
            </w:r>
          </w:p>
        </w:tc>
        <w:tc>
          <w:tcPr>
            <w:tcW w:w="1643" w:type="dxa"/>
            <w:vMerge w:val="restart"/>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643" w:type="dxa"/>
            <w:vMerge w:val="restart"/>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基本支出</w:t>
            </w:r>
          </w:p>
        </w:tc>
        <w:tc>
          <w:tcPr>
            <w:tcW w:w="1643" w:type="dxa"/>
            <w:vMerge w:val="restart"/>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科目编码</w:t>
            </w: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科目名称</w:t>
            </w: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栏次</w:t>
            </w: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1</w:t>
            </w: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2</w:t>
            </w: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3</w:t>
            </w: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4</w:t>
            </w: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before="0" w:after="0" w:line="360" w:lineRule="auto"/>
        <w:ind w:firstLine="420"/>
        <w:jc w:val="left"/>
        <w:textAlignment w:val="auto"/>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9" w:name="_Toc11851"/>
      <w:r>
        <w:rPr>
          <w:rFonts w:ascii="方正小标宋_GBK" w:hAnsi="方正小标宋_GBK" w:eastAsia="方正小标宋_GBK" w:cs="方正小标宋_GBK"/>
          <w:color w:val="000000"/>
          <w:sz w:val="36"/>
        </w:rPr>
        <w:t>单位预算国有资本经营预算财政拨款支出表</w:t>
      </w:r>
      <w:bookmarkEnd w:id="9"/>
    </w:p>
    <w:tbl>
      <w:tblPr>
        <w:tblStyle w:val="9"/>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800011霸州市东杨庄乡卫生院</w:t>
            </w:r>
          </w:p>
        </w:tc>
        <w:tc>
          <w:tcPr>
            <w:tcW w:w="1643" w:type="dxa"/>
            <w:tcBorders>
              <w:top w:val="single" w:color="FFFFFF" w:sz="6" w:space="0"/>
              <w:left w:val="single" w:color="FFFFFF" w:sz="6" w:space="0"/>
              <w:right w:val="single" w:color="FFFFFF" w:sz="6" w:space="0"/>
            </w:tcBorders>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序号</w:t>
            </w:r>
          </w:p>
        </w:tc>
        <w:tc>
          <w:tcPr>
            <w:tcW w:w="3286" w:type="dxa"/>
            <w:gridSpan w:val="2"/>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功能分类科目</w:t>
            </w:r>
          </w:p>
        </w:tc>
        <w:tc>
          <w:tcPr>
            <w:tcW w:w="1643" w:type="dxa"/>
            <w:vMerge w:val="restart"/>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643" w:type="dxa"/>
            <w:vMerge w:val="restart"/>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基本支出</w:t>
            </w:r>
          </w:p>
        </w:tc>
        <w:tc>
          <w:tcPr>
            <w:tcW w:w="1643" w:type="dxa"/>
            <w:vMerge w:val="restart"/>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科目编码</w:t>
            </w: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科目名称</w:t>
            </w: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栏次</w:t>
            </w: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1</w:t>
            </w: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2</w:t>
            </w: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3</w:t>
            </w: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4</w:t>
            </w: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before="0" w:after="0" w:line="360" w:lineRule="auto"/>
        <w:ind w:firstLine="420"/>
        <w:jc w:val="left"/>
        <w:textAlignment w:val="auto"/>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10" w:name="_Toc2251"/>
      <w:r>
        <w:rPr>
          <w:rFonts w:ascii="方正小标宋_GBK" w:hAnsi="方正小标宋_GBK" w:eastAsia="方正小标宋_GBK" w:cs="方正小标宋_GBK"/>
          <w:color w:val="000000"/>
          <w:sz w:val="36"/>
        </w:rPr>
        <w:t>单位预算财政拨款“三公”经费支出表</w:t>
      </w:r>
      <w:bookmarkEnd w:id="10"/>
    </w:p>
    <w:tbl>
      <w:tblPr>
        <w:tblStyle w:val="9"/>
        <w:tblW w:w="112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2"/>
        <w:gridCol w:w="3077"/>
        <w:gridCol w:w="1291"/>
        <w:gridCol w:w="1883"/>
        <w:gridCol w:w="1883"/>
        <w:gridCol w:w="18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5" w:hRule="atLeast"/>
          <w:tblHeader/>
          <w:jc w:val="center"/>
        </w:trPr>
        <w:tc>
          <w:tcPr>
            <w:tcW w:w="5650" w:type="dxa"/>
            <w:gridSpan w:val="3"/>
            <w:tcBorders>
              <w:top w:val="single" w:color="FFFFFF" w:sz="6" w:space="0"/>
              <w:left w:val="single" w:color="FFFFFF" w:sz="6" w:space="0"/>
              <w:right w:val="single" w:color="FFFFFF" w:sz="6" w:space="0"/>
            </w:tcBorders>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rPr>
                <w:rFonts w:hint="default" w:eastAsia="方正小标宋_GBK"/>
                <w:lang w:val="en-US" w:eastAsia="zh-CN"/>
              </w:rPr>
            </w:pPr>
            <w:r>
              <w:t>800011霸州市东杨庄乡卫生院</w:t>
            </w:r>
            <w:bookmarkStart w:id="27" w:name="_GoBack"/>
            <w:bookmarkEnd w:id="27"/>
          </w:p>
        </w:tc>
        <w:tc>
          <w:tcPr>
            <w:tcW w:w="1883" w:type="dxa"/>
            <w:tcBorders>
              <w:top w:val="single" w:color="FFFFFF" w:sz="6" w:space="0"/>
              <w:left w:val="single" w:color="FFFFFF" w:sz="6" w:space="0"/>
              <w:right w:val="single" w:color="FFFFFF" w:sz="6" w:space="0"/>
            </w:tcBorders>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3766" w:type="dxa"/>
            <w:gridSpan w:val="2"/>
            <w:tcBorders>
              <w:top w:val="single" w:color="FFFFFF" w:sz="6" w:space="0"/>
              <w:left w:val="single" w:color="FFFFFF" w:sz="6" w:space="0"/>
              <w:right w:val="single" w:color="FFFFFF" w:sz="6" w:space="0"/>
            </w:tcBorders>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9" w:hRule="atLeast"/>
          <w:tblHeader/>
          <w:jc w:val="center"/>
        </w:trPr>
        <w:tc>
          <w:tcPr>
            <w:tcW w:w="1282" w:type="dxa"/>
            <w:vMerge w:val="restart"/>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序号</w:t>
            </w:r>
          </w:p>
        </w:tc>
        <w:tc>
          <w:tcPr>
            <w:tcW w:w="3077" w:type="dxa"/>
            <w:vMerge w:val="restart"/>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项  目</w:t>
            </w:r>
          </w:p>
        </w:tc>
        <w:tc>
          <w:tcPr>
            <w:tcW w:w="6940" w:type="dxa"/>
            <w:gridSpan w:val="4"/>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03" w:hRule="atLeast"/>
          <w:tblHeader/>
          <w:jc w:val="center"/>
        </w:trPr>
        <w:tc>
          <w:tcPr>
            <w:tcW w:w="1282"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3077"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291"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88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一般公共预算              财政拨款</w:t>
            </w:r>
          </w:p>
        </w:tc>
        <w:tc>
          <w:tcPr>
            <w:tcW w:w="188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政府性基金                  预算拨款</w:t>
            </w:r>
          </w:p>
        </w:tc>
        <w:tc>
          <w:tcPr>
            <w:tcW w:w="188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tblHeader/>
          <w:jc w:val="center"/>
        </w:trPr>
        <w:tc>
          <w:tcPr>
            <w:tcW w:w="128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栏次</w:t>
            </w:r>
          </w:p>
        </w:tc>
        <w:tc>
          <w:tcPr>
            <w:tcW w:w="3077"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1</w:t>
            </w:r>
          </w:p>
        </w:tc>
        <w:tc>
          <w:tcPr>
            <w:tcW w:w="1291"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2</w:t>
            </w:r>
          </w:p>
        </w:tc>
        <w:tc>
          <w:tcPr>
            <w:tcW w:w="188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3</w:t>
            </w:r>
          </w:p>
        </w:tc>
        <w:tc>
          <w:tcPr>
            <w:tcW w:w="188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4</w:t>
            </w:r>
          </w:p>
        </w:tc>
        <w:tc>
          <w:tcPr>
            <w:tcW w:w="188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1282" w:type="dxa"/>
            <w:vAlign w:val="center"/>
          </w:tcPr>
          <w:p>
            <w:pPr>
              <w:pStyle w:val="15"/>
              <w:ind w:firstLine="0" w:firstLineChars="0"/>
              <w:rPr>
                <w:rFonts w:ascii="方正书宋_GBK" w:hAnsi="方正书宋_GBK" w:eastAsia="方正书宋_GBK" w:cs="方正书宋_GBK"/>
                <w:kern w:val="2"/>
                <w:sz w:val="21"/>
                <w:szCs w:val="24"/>
                <w:lang w:val="en-US" w:eastAsia="zh-CN" w:bidi="ar-SA"/>
              </w:rPr>
            </w:pPr>
            <w:r>
              <w:t>1</w:t>
            </w:r>
          </w:p>
        </w:tc>
        <w:tc>
          <w:tcPr>
            <w:tcW w:w="3077" w:type="dxa"/>
            <w:vAlign w:val="center"/>
          </w:tcPr>
          <w:p>
            <w:pPr>
              <w:pStyle w:val="18"/>
              <w:ind w:firstLine="0" w:firstLineChars="0"/>
              <w:rPr>
                <w:rFonts w:ascii="方正书宋_GBK" w:hAnsi="方正书宋_GBK" w:eastAsia="方正书宋_GBK" w:cs="方正书宋_GBK"/>
                <w:b/>
                <w:kern w:val="2"/>
                <w:sz w:val="21"/>
                <w:szCs w:val="24"/>
                <w:lang w:val="en-US" w:eastAsia="zh-CN" w:bidi="ar-SA"/>
              </w:rPr>
            </w:pPr>
            <w:r>
              <w:t>合计</w:t>
            </w:r>
          </w:p>
        </w:tc>
        <w:tc>
          <w:tcPr>
            <w:tcW w:w="1291"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1282" w:type="dxa"/>
            <w:vAlign w:val="center"/>
          </w:tcPr>
          <w:p>
            <w:pPr>
              <w:pStyle w:val="15"/>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2</w:t>
            </w:r>
          </w:p>
        </w:tc>
        <w:tc>
          <w:tcPr>
            <w:tcW w:w="3077" w:type="dxa"/>
            <w:vAlign w:val="center"/>
          </w:tcPr>
          <w:p>
            <w:pPr>
              <w:pStyle w:val="16"/>
              <w:ind w:firstLine="0" w:firstLineChars="0"/>
              <w:rPr>
                <w:rFonts w:ascii="方正书宋_GBK" w:hAnsi="方正书宋_GBK" w:eastAsia="方正书宋_GBK" w:cs="方正书宋_GBK"/>
                <w:kern w:val="2"/>
                <w:sz w:val="21"/>
                <w:szCs w:val="24"/>
                <w:lang w:val="en-US" w:eastAsia="zh-CN" w:bidi="ar-SA"/>
              </w:rPr>
            </w:pPr>
            <w:r>
              <w:t>一、因公出国（境）费</w:t>
            </w:r>
          </w:p>
        </w:tc>
        <w:tc>
          <w:tcPr>
            <w:tcW w:w="1291"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73" w:hRule="atLeast"/>
          <w:jc w:val="center"/>
        </w:trPr>
        <w:tc>
          <w:tcPr>
            <w:tcW w:w="1282" w:type="dxa"/>
            <w:vAlign w:val="center"/>
          </w:tcPr>
          <w:p>
            <w:pPr>
              <w:pStyle w:val="15"/>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3</w:t>
            </w:r>
          </w:p>
        </w:tc>
        <w:tc>
          <w:tcPr>
            <w:tcW w:w="3077" w:type="dxa"/>
            <w:vAlign w:val="center"/>
          </w:tcPr>
          <w:p>
            <w:pPr>
              <w:pStyle w:val="16"/>
              <w:ind w:firstLine="0" w:firstLineChars="0"/>
              <w:rPr>
                <w:rFonts w:ascii="方正书宋_GBK" w:hAnsi="方正书宋_GBK" w:eastAsia="方正书宋_GBK" w:cs="方正书宋_GBK"/>
                <w:kern w:val="2"/>
                <w:sz w:val="21"/>
                <w:szCs w:val="24"/>
                <w:lang w:val="en-US" w:eastAsia="zh-CN" w:bidi="ar-SA"/>
              </w:rPr>
            </w:pPr>
            <w:r>
              <w:t xml:space="preserve">    其中：教学科研人员因公出国（境）费</w:t>
            </w:r>
          </w:p>
        </w:tc>
        <w:tc>
          <w:tcPr>
            <w:tcW w:w="1291"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3" w:hRule="atLeast"/>
          <w:jc w:val="center"/>
        </w:trPr>
        <w:tc>
          <w:tcPr>
            <w:tcW w:w="1282" w:type="dxa"/>
            <w:vAlign w:val="center"/>
          </w:tcPr>
          <w:p>
            <w:pPr>
              <w:pStyle w:val="15"/>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4</w:t>
            </w:r>
          </w:p>
        </w:tc>
        <w:tc>
          <w:tcPr>
            <w:tcW w:w="3077" w:type="dxa"/>
            <w:vAlign w:val="center"/>
          </w:tcPr>
          <w:p>
            <w:pPr>
              <w:pStyle w:val="16"/>
              <w:ind w:firstLine="0" w:firstLineChars="0"/>
              <w:rPr>
                <w:rFonts w:ascii="方正书宋_GBK" w:hAnsi="方正书宋_GBK" w:eastAsia="方正书宋_GBK" w:cs="方正书宋_GBK"/>
                <w:kern w:val="2"/>
                <w:sz w:val="21"/>
                <w:szCs w:val="24"/>
                <w:lang w:val="en-US" w:eastAsia="zh-CN" w:bidi="ar-SA"/>
              </w:rPr>
            </w:pPr>
            <w:r>
              <w:t xml:space="preserve">          其他因公出国（境）费</w:t>
            </w:r>
          </w:p>
        </w:tc>
        <w:tc>
          <w:tcPr>
            <w:tcW w:w="1291"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1282" w:type="dxa"/>
            <w:vAlign w:val="center"/>
          </w:tcPr>
          <w:p>
            <w:pPr>
              <w:pStyle w:val="15"/>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5</w:t>
            </w:r>
          </w:p>
        </w:tc>
        <w:tc>
          <w:tcPr>
            <w:tcW w:w="3077" w:type="dxa"/>
            <w:vAlign w:val="center"/>
          </w:tcPr>
          <w:p>
            <w:pPr>
              <w:pStyle w:val="16"/>
              <w:ind w:firstLine="0" w:firstLineChars="0"/>
              <w:rPr>
                <w:rFonts w:ascii="方正书宋_GBK" w:hAnsi="方正书宋_GBK" w:eastAsia="方正书宋_GBK" w:cs="方正书宋_GBK"/>
                <w:kern w:val="2"/>
                <w:sz w:val="21"/>
                <w:szCs w:val="24"/>
                <w:lang w:val="en-US" w:eastAsia="zh-CN" w:bidi="ar-SA"/>
              </w:rPr>
            </w:pPr>
            <w:r>
              <w:t>二、公务用车购置及运维费</w:t>
            </w:r>
          </w:p>
        </w:tc>
        <w:tc>
          <w:tcPr>
            <w:tcW w:w="1291"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1282" w:type="dxa"/>
            <w:vAlign w:val="center"/>
          </w:tcPr>
          <w:p>
            <w:pPr>
              <w:pStyle w:val="15"/>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6</w:t>
            </w:r>
          </w:p>
        </w:tc>
        <w:tc>
          <w:tcPr>
            <w:tcW w:w="3077" w:type="dxa"/>
            <w:vAlign w:val="center"/>
          </w:tcPr>
          <w:p>
            <w:pPr>
              <w:pStyle w:val="16"/>
              <w:ind w:firstLine="0" w:firstLineChars="0"/>
              <w:rPr>
                <w:rFonts w:ascii="方正书宋_GBK" w:hAnsi="方正书宋_GBK" w:eastAsia="方正书宋_GBK" w:cs="方正书宋_GBK"/>
                <w:kern w:val="2"/>
                <w:sz w:val="21"/>
                <w:szCs w:val="24"/>
                <w:lang w:val="en-US" w:eastAsia="zh-CN" w:bidi="ar-SA"/>
              </w:rPr>
            </w:pPr>
            <w:r>
              <w:t xml:space="preserve">    其中：公务用车购置费</w:t>
            </w:r>
          </w:p>
        </w:tc>
        <w:tc>
          <w:tcPr>
            <w:tcW w:w="1291"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3" w:hRule="atLeast"/>
          <w:jc w:val="center"/>
        </w:trPr>
        <w:tc>
          <w:tcPr>
            <w:tcW w:w="1282" w:type="dxa"/>
            <w:vAlign w:val="center"/>
          </w:tcPr>
          <w:p>
            <w:pPr>
              <w:pStyle w:val="15"/>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7</w:t>
            </w:r>
          </w:p>
        </w:tc>
        <w:tc>
          <w:tcPr>
            <w:tcW w:w="3077" w:type="dxa"/>
            <w:vAlign w:val="center"/>
          </w:tcPr>
          <w:p>
            <w:pPr>
              <w:pStyle w:val="16"/>
              <w:ind w:firstLine="0" w:firstLineChars="0"/>
              <w:rPr>
                <w:rFonts w:ascii="方正书宋_GBK" w:hAnsi="方正书宋_GBK" w:eastAsia="方正书宋_GBK" w:cs="方正书宋_GBK"/>
                <w:kern w:val="2"/>
                <w:sz w:val="21"/>
                <w:szCs w:val="24"/>
                <w:lang w:val="en-US" w:eastAsia="zh-CN" w:bidi="ar-SA"/>
              </w:rPr>
            </w:pPr>
            <w:r>
              <w:t xml:space="preserve">         公务用车运行维护费</w:t>
            </w:r>
          </w:p>
        </w:tc>
        <w:tc>
          <w:tcPr>
            <w:tcW w:w="1291"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7" w:hRule="atLeast"/>
          <w:jc w:val="center"/>
        </w:trPr>
        <w:tc>
          <w:tcPr>
            <w:tcW w:w="1282" w:type="dxa"/>
            <w:vAlign w:val="center"/>
          </w:tcPr>
          <w:p>
            <w:pPr>
              <w:pStyle w:val="15"/>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8</w:t>
            </w:r>
          </w:p>
        </w:tc>
        <w:tc>
          <w:tcPr>
            <w:tcW w:w="3077" w:type="dxa"/>
            <w:vAlign w:val="center"/>
          </w:tcPr>
          <w:p>
            <w:pPr>
              <w:pStyle w:val="16"/>
              <w:ind w:firstLine="0" w:firstLineChars="0"/>
              <w:rPr>
                <w:rFonts w:ascii="方正书宋_GBK" w:hAnsi="方正书宋_GBK" w:eastAsia="方正书宋_GBK" w:cs="方正书宋_GBK"/>
                <w:kern w:val="2"/>
                <w:sz w:val="21"/>
                <w:szCs w:val="24"/>
                <w:lang w:val="en-US" w:eastAsia="zh-CN" w:bidi="ar-SA"/>
              </w:rPr>
            </w:pPr>
            <w:r>
              <w:t>三、公务接待费</w:t>
            </w:r>
          </w:p>
        </w:tc>
        <w:tc>
          <w:tcPr>
            <w:tcW w:w="1291"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before="0" w:after="0" w:line="360" w:lineRule="auto"/>
        <w:ind w:firstLine="420"/>
        <w:jc w:val="left"/>
        <w:textAlignment w:val="auto"/>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r>
        <w:rPr>
          <w:rFonts w:ascii="方正小标宋_GBK" w:hAnsi="方正小标宋_GBK" w:eastAsia="方正小标宋_GBK" w:cs="方正小标宋_GBK"/>
          <w:b w:val="0"/>
          <w:color w:val="000000"/>
          <w:sz w:val="44"/>
        </w:rPr>
        <w:t>霸州市东杨庄乡卫生院2022年单位预算信息公开情况说明</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按照《预算法》、《地方预决算公开操作规程》和《关于进一步推进预算公开工作的实施意见》规定，现将霸州市东杨庄乡卫生院2022年单位预算公开如下：</w:t>
      </w: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1" w:name="_Toc26370"/>
      <w:bookmarkStart w:id="12" w:name="_Toc17691"/>
      <w:r>
        <w:rPr>
          <w:rFonts w:ascii="黑体" w:hAnsi="黑体" w:eastAsia="黑体" w:cs="黑体"/>
          <w:color w:val="000000"/>
          <w:sz w:val="32"/>
        </w:rPr>
        <w:t>一、单位职责及机构设置情况</w:t>
      </w:r>
      <w:bookmarkEnd w:id="11"/>
      <w:bookmarkEnd w:id="12"/>
    </w:p>
    <w:p>
      <w:pPr>
        <w:keepNext w:val="0"/>
        <w:keepLines w:val="0"/>
        <w:pageBreakBefore w:val="0"/>
        <w:kinsoku/>
        <w:wordWrap/>
        <w:overflowPunct/>
        <w:topLinePunct w:val="0"/>
        <w:autoSpaceDE/>
        <w:autoSpaceDN/>
        <w:bidi w:val="0"/>
        <w:adjustRightInd/>
        <w:snapToGrid/>
        <w:spacing w:before="0" w:after="0" w:line="360" w:lineRule="auto"/>
        <w:ind w:firstLine="640"/>
        <w:jc w:val="left"/>
        <w:textAlignment w:val="auto"/>
        <w:outlineLvl w:val="9"/>
      </w:pPr>
      <w:bookmarkStart w:id="13" w:name="_Toc8383"/>
      <w:r>
        <w:rPr>
          <w:rFonts w:ascii="方正楷体_GBK" w:hAnsi="方正楷体_GBK" w:eastAsia="方正楷体_GBK" w:cs="方正楷体_GBK"/>
          <w:b/>
          <w:color w:val="000000"/>
          <w:sz w:val="32"/>
        </w:rPr>
        <w:t>单位职责：</w:t>
      </w:r>
      <w:bookmarkEnd w:id="13"/>
    </w:p>
    <w:p>
      <w:pPr>
        <w:keepNext w:val="0"/>
        <w:keepLines w:val="0"/>
        <w:pageBreakBefore w:val="0"/>
        <w:widowControl/>
        <w:kinsoku/>
        <w:wordWrap/>
        <w:overflowPunct/>
        <w:topLinePunct w:val="0"/>
        <w:autoSpaceDE/>
        <w:autoSpaceDN/>
        <w:bidi w:val="0"/>
        <w:adjustRightInd/>
        <w:snapToGrid/>
        <w:spacing w:line="360" w:lineRule="auto"/>
        <w:ind w:left="525" w:leftChars="250"/>
        <w:jc w:val="left"/>
        <w:textAlignment w:val="auto"/>
        <w:outlineLvl w:val="9"/>
        <w:rPr>
          <w:rFonts w:hint="default" w:ascii="Times New Roman" w:hAnsi="Times New Roman" w:eastAsia="方正仿宋_GBK" w:cs="Times New Roman"/>
          <w:kern w:val="0"/>
          <w:sz w:val="28"/>
          <w:szCs w:val="24"/>
          <w:lang w:val="en-US" w:eastAsia="zh-CN" w:bidi="ar-SA"/>
        </w:rPr>
      </w:pPr>
      <w:bookmarkStart w:id="14" w:name="_Toc20683"/>
      <w:r>
        <w:rPr>
          <w:rFonts w:hint="eastAsia" w:ascii="Times New Roman" w:hAnsi="Times New Roman" w:eastAsia="方正仿宋_GBK" w:cs="Times New Roman"/>
          <w:kern w:val="0"/>
          <w:sz w:val="28"/>
          <w:szCs w:val="24"/>
          <w:lang w:val="en-US" w:eastAsia="zh-CN" w:bidi="ar-SA"/>
        </w:rPr>
        <w:t>（一）</w:t>
      </w:r>
      <w:r>
        <w:rPr>
          <w:rFonts w:hint="default" w:ascii="Times New Roman" w:hAnsi="Times New Roman" w:eastAsia="方正仿宋_GBK" w:cs="Times New Roman"/>
          <w:kern w:val="0"/>
          <w:sz w:val="28"/>
          <w:szCs w:val="24"/>
          <w:lang w:val="en-US" w:eastAsia="zh-CN" w:bidi="ar-SA"/>
        </w:rPr>
        <w:t>门诊住院医生工作职责</w:t>
      </w:r>
      <w:bookmarkEnd w:id="14"/>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1、门诊工作人员必须按时到岗，做好准备，准时开诊。</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2、门诊工作人员必须遵守劳动纪律，不迟到、早退、空岗，特殊情况自己调班或科内解决。</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3、工作中必须衣着整洁保持工作桌面干净、利落、完整，保持室内卫生。</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4、医生必须做到首诊负责制，如果有特殊情况，与病人解释清楚或与有关人员详细交班。不允许推诿病人，不允许看人情号及搭车开药。</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5、诊室中不允许聊天及串科室，不允许空岗，诊疗中不允许使用手机，保持完好的工作秩序。</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6、门诊医生必须做好“病历书写、登记本记录、处方规范”。</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7、诊疗中积极维护病人的隐私权。</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8、对以上要求，请各门诊医生认真执行，如发现违章、患者投诉者，按医院制度处罚。</w:t>
      </w:r>
    </w:p>
    <w:p>
      <w:pPr>
        <w:keepNext w:val="0"/>
        <w:keepLines w:val="0"/>
        <w:pageBreakBefore w:val="0"/>
        <w:kinsoku/>
        <w:wordWrap/>
        <w:overflowPunct/>
        <w:topLinePunct w:val="0"/>
        <w:autoSpaceDE/>
        <w:autoSpaceDN/>
        <w:bidi w:val="0"/>
        <w:adjustRightInd/>
        <w:snapToGrid/>
        <w:spacing w:line="360" w:lineRule="auto"/>
        <w:ind w:left="525" w:leftChars="250"/>
        <w:textAlignment w:val="auto"/>
        <w:outlineLvl w:val="9"/>
        <w:rPr>
          <w:rFonts w:hint="eastAsia" w:ascii="Times New Roman" w:hAnsi="Times New Roman" w:eastAsia="方正仿宋_GBK" w:cs="Times New Roman"/>
          <w:kern w:val="0"/>
          <w:sz w:val="28"/>
          <w:szCs w:val="24"/>
          <w:lang w:val="en-US" w:eastAsia="zh-CN" w:bidi="ar-SA"/>
        </w:rPr>
      </w:pPr>
      <w:bookmarkStart w:id="15" w:name="_Toc4399"/>
      <w:r>
        <w:rPr>
          <w:rFonts w:hint="eastAsia" w:ascii="Times New Roman" w:hAnsi="Times New Roman" w:eastAsia="方正仿宋_GBK" w:cs="Times New Roman"/>
          <w:kern w:val="0"/>
          <w:sz w:val="28"/>
          <w:szCs w:val="24"/>
          <w:lang w:val="en-US" w:eastAsia="zh-CN" w:bidi="ar-SA"/>
        </w:rPr>
        <w:t>（二）</w:t>
      </w:r>
      <w:r>
        <w:rPr>
          <w:rFonts w:hint="default" w:ascii="Times New Roman" w:hAnsi="Times New Roman" w:eastAsia="方正仿宋_GBK" w:cs="Times New Roman"/>
          <w:kern w:val="0"/>
          <w:sz w:val="28"/>
          <w:szCs w:val="24"/>
          <w:lang w:val="en-US" w:eastAsia="zh-CN" w:bidi="ar-SA"/>
        </w:rPr>
        <w:t>护士岗位职责</w:t>
      </w:r>
      <w:bookmarkEnd w:id="15"/>
    </w:p>
    <w:p>
      <w:pPr>
        <w:keepNext w:val="0"/>
        <w:keepLines w:val="0"/>
        <w:pageBreakBefore w:val="0"/>
        <w:kinsoku/>
        <w:wordWrap/>
        <w:overflowPunct/>
        <w:topLinePunct w:val="0"/>
        <w:autoSpaceDE/>
        <w:autoSpaceDN/>
        <w:bidi w:val="0"/>
        <w:adjustRightInd/>
        <w:snapToGrid/>
        <w:spacing w:line="360" w:lineRule="auto"/>
        <w:ind w:left="525" w:leftChars="250" w:firstLine="560" w:firstLineChars="200"/>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1、门诊护士应按时上班，认真做好交接班工作，清点治疗用品和抢救药品基数，及时做好交接班记录。坚守岗位，不串岗脱岗，上班应穿工作服、戴工作帽，注意仪表整洁。</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2、热情接待病员，做到微笑服务，帮助病员解决各种困难。</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3、按规定准确及时做好各种护理记录，负责整理保管各种医疗记录报表。</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4、认真执行查对制度，按操作规程进行各种治疗工作，保证医疗安全。</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5、定时巡视病人，严密观察病情，及时向医生汇报病情变化。</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6、负责注射室、输液室、治疗室各种用品的保管、清洁、消毒工作。保证各种无菌用品的消毒灭菌工作，并负责进行定时更换。</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7、负责抢救药品和小药柜的清点、领用、保管工作，及时补充基数，更换过期变质药品。</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8、对以上要求，请门诊护士认真执行，如发现违章、患者投诉者，按医院制度处罚。</w:t>
      </w:r>
    </w:p>
    <w:p>
      <w:pPr>
        <w:keepNext w:val="0"/>
        <w:keepLines w:val="0"/>
        <w:pageBreakBefore w:val="0"/>
        <w:widowControl/>
        <w:kinsoku/>
        <w:wordWrap/>
        <w:overflowPunct/>
        <w:topLinePunct w:val="0"/>
        <w:autoSpaceDE/>
        <w:autoSpaceDN/>
        <w:bidi w:val="0"/>
        <w:adjustRightInd/>
        <w:snapToGrid/>
        <w:spacing w:line="360" w:lineRule="auto"/>
        <w:ind w:left="1085" w:leftChars="250" w:hanging="560" w:hanging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 （三）财务科工作职责</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1、在院长领导下，负责全院的计划财务（包括基建财务）工作。通过经济管理保证和促进本院事业的发展。</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2、贯彻有关财务会计的法令、制度和指示，遵守国家财政纪律。</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3、负责医院经济管理，按照经济规律实行经济核算，对全院固定资产、设备、药品、材料、物质进行金额控制和监督管理。</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4、根据事业计划，正确、及时地编制年度和季度（或月份）的财务计划，办理会计业务，按照规定的格式和期限报送会计报表。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5、根据事业计划和按照规定的统一收费标准，合理的组织收入，管理和办理各种医疗收费。监督、检查和防止漏收、少收、多收现象。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6、严格财务管理制度，根据医院特点、业务需要和节约原则，精打细算、节约行政开支、监督预算资金的正确使用。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7、负责监督检查现金管理，签署财务凭证、支票、报表。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8、负责会计档案的收集、整理、归档，在适当的时候向综合档案室移交集中保管。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9、对全院财务、会计人员实行业务领导、指导、监督其按财务管理的要求进行工作。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10、负责住院、挂号、收费处的工作，加强业务管理。</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（四）公共卫生科工作职责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1、在卫生院基本公共卫生服务领导小组领导下开展各项工作。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2、负责统筹管理具有公共卫生服务职能的相关科室。</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3、负责组织制定本院基本公共卫生服务项目实施及工作计划。</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4、组织、协调、参与重大公共卫生服务项目的实施。</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5、负责组织公共卫生知识宣传、教育和技能培训，提高公共卫生服务能力；组织开展辖区内的健康教育和健康促进。</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6、负责辖区内村卫生室公共卫生服务督导工作。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7、制定本辖区村卫生室绩效考核方案，在年底组织开展本辖区村卫生室绩效考核工作，并将绩效考核结果提交院领导。</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8、按绩效考核结果提出对村卫生室补助，继聘、清退等方案，做到奖优罚劣。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9、完成院领导及上级布置的其他工作。</w:t>
      </w:r>
    </w:p>
    <w:p>
      <w:pPr>
        <w:keepNext w:val="0"/>
        <w:keepLines w:val="0"/>
        <w:pageBreakBefore w:val="0"/>
        <w:widowControl/>
        <w:kinsoku/>
        <w:wordWrap/>
        <w:overflowPunct/>
        <w:topLinePunct w:val="0"/>
        <w:autoSpaceDE/>
        <w:autoSpaceDN/>
        <w:bidi w:val="0"/>
        <w:adjustRightInd/>
        <w:snapToGrid/>
        <w:spacing w:line="360" w:lineRule="auto"/>
        <w:ind w:left="525" w:leftChars="25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（五）预防保健免疫规划科职责</w:t>
      </w:r>
    </w:p>
    <w:p>
      <w:pPr>
        <w:keepNext w:val="0"/>
        <w:keepLines w:val="0"/>
        <w:pageBreakBefore w:val="0"/>
        <w:widowControl/>
        <w:kinsoku/>
        <w:wordWrap/>
        <w:overflowPunct/>
        <w:topLinePunct w:val="0"/>
        <w:autoSpaceDE/>
        <w:autoSpaceDN/>
        <w:bidi w:val="0"/>
        <w:adjustRightInd/>
        <w:snapToGrid/>
        <w:spacing w:line="360" w:lineRule="auto"/>
        <w:ind w:left="1084" w:leftChars="516" w:firstLine="0" w:firstLineChars="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1、预防接种单位实行按月、周（日）接种，新生儿乙肝疫苗接种点实行按日接种。</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2、严格按照卫生部颁发的《预防接种工作规范》，开展预防接种工作。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3、及时为适龄儿童建立预防接种薄、发放预防接种证：本地儿童出生后1个月，外来儿童寄居3个月及以上，建立预防接种证。</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4、预防接种证管理：预防接种证由儿童监护人长期保管，儿童入托、入园、入学实行查验接种证制度，未按规定程序进行接种的儿童必须到所属接种单位补种后方可入学。</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5、预防接种人员必须取得由县级卫生行政部门发放的预防接种资格证，方可从事预防接种工作。接种时要穿戴工作衣帽、口罩，患手部皮肤病或传染病期间不准参加接种工作。尚未完成基础免疫且连续通知两次均未前来接种的儿童，及时进行随访落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6、接种前做好准备工作，包括统计应种对象、发放接种通知，准备疫苗、注射器及各种药械等。</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7、接种结束后须及时将接种情况转入预防接种证、薄。</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8、预防接种门诊工作人员应及时上报预防接种相关报表，协助上级疾病预防控制机构开展免疫监测、相应传染病个案调查及疫情控制等工作。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9、预防接种门诊要设立登记咨询点，接受群众咨询。</w:t>
      </w:r>
    </w:p>
    <w:p>
      <w:pPr>
        <w:keepNext w:val="0"/>
        <w:keepLines w:val="0"/>
        <w:pageBreakBefore w:val="0"/>
        <w:widowControl/>
        <w:kinsoku/>
        <w:wordWrap/>
        <w:overflowPunct/>
        <w:topLinePunct w:val="0"/>
        <w:autoSpaceDE/>
        <w:autoSpaceDN/>
        <w:bidi w:val="0"/>
        <w:adjustRightInd/>
        <w:snapToGrid/>
        <w:spacing w:line="360" w:lineRule="auto"/>
        <w:ind w:left="525" w:leftChars="25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（六）医技科室工作</w:t>
      </w:r>
      <w:r>
        <w:rPr>
          <w:rFonts w:hint="default" w:ascii="Times New Roman" w:hAnsi="Times New Roman" w:eastAsia="方正仿宋_GBK" w:cs="Times New Roman"/>
          <w:kern w:val="0"/>
          <w:sz w:val="28"/>
          <w:szCs w:val="24"/>
          <w:lang w:val="en-US" w:eastAsia="zh-CN" w:bidi="ar-SA"/>
        </w:rPr>
        <w:fldChar w:fldCharType="begin"/>
      </w:r>
      <w:r>
        <w:rPr>
          <w:rFonts w:hint="default" w:ascii="Times New Roman" w:hAnsi="Times New Roman" w:eastAsia="方正仿宋_GBK" w:cs="Times New Roman"/>
          <w:kern w:val="0"/>
          <w:sz w:val="28"/>
          <w:szCs w:val="24"/>
          <w:lang w:val="en-US" w:eastAsia="zh-CN" w:bidi="ar-SA"/>
        </w:rPr>
        <w:instrText xml:space="preserve"> HYPERLINK "http://www.fdcew.com/hypx/List_177.html" \t "http://www.fdcew.com/Article/jygl/_blank" </w:instrText>
      </w:r>
      <w:r>
        <w:rPr>
          <w:rFonts w:hint="default" w:ascii="Times New Roman" w:hAnsi="Times New Roman" w:eastAsia="方正仿宋_GBK" w:cs="Times New Roman"/>
          <w:kern w:val="0"/>
          <w:sz w:val="28"/>
          <w:szCs w:val="24"/>
          <w:lang w:val="en-US" w:eastAsia="zh-CN" w:bidi="ar-SA"/>
        </w:rPr>
        <w:fldChar w:fldCharType="separate"/>
      </w:r>
      <w:r>
        <w:rPr>
          <w:rFonts w:hint="eastAsia" w:ascii="Times New Roman" w:hAnsi="Times New Roman" w:eastAsia="方正仿宋_GBK" w:cs="Times New Roman"/>
          <w:kern w:val="0"/>
          <w:sz w:val="28"/>
          <w:szCs w:val="24"/>
          <w:lang w:val="en-US" w:eastAsia="zh-CN" w:bidi="ar-SA"/>
        </w:rPr>
        <w:t>制度</w:t>
      </w:r>
      <w:r>
        <w:rPr>
          <w:rFonts w:hint="eastAsia" w:ascii="Times New Roman" w:hAnsi="Times New Roman" w:eastAsia="方正仿宋_GBK" w:cs="Times New Roman"/>
          <w:kern w:val="0"/>
          <w:sz w:val="28"/>
          <w:szCs w:val="24"/>
          <w:lang w:val="en-US" w:eastAsia="zh-CN" w:bidi="ar-SA"/>
        </w:rPr>
        <w:fldChar w:fldCharType="end"/>
      </w:r>
    </w:p>
    <w:p>
      <w:pPr>
        <w:keepNext w:val="0"/>
        <w:keepLines w:val="0"/>
        <w:pageBreakBefore w:val="0"/>
        <w:widowControl/>
        <w:kinsoku/>
        <w:wordWrap/>
        <w:overflowPunct/>
        <w:topLinePunct w:val="0"/>
        <w:autoSpaceDE/>
        <w:autoSpaceDN/>
        <w:bidi w:val="0"/>
        <w:adjustRightInd/>
        <w:snapToGrid/>
        <w:spacing w:line="360" w:lineRule="auto"/>
        <w:ind w:firstLine="840" w:firstLine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1、X线照片及心电图、B超等其它功能项目检查均应在填写完善的申请单的基础上进行登记，注明日期、科别、病人姓名、年龄、性别、病案号、检查部位等。</w:t>
      </w:r>
    </w:p>
    <w:p>
      <w:pPr>
        <w:keepNext w:val="0"/>
        <w:keepLines w:val="0"/>
        <w:pageBreakBefore w:val="0"/>
        <w:widowControl/>
        <w:kinsoku/>
        <w:wordWrap/>
        <w:overflowPunct/>
        <w:topLinePunct w:val="0"/>
        <w:autoSpaceDE/>
        <w:autoSpaceDN/>
        <w:bidi w:val="0"/>
        <w:adjustRightInd/>
        <w:snapToGrid/>
        <w:spacing w:line="360" w:lineRule="auto"/>
        <w:ind w:firstLine="840" w:firstLine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2、严格按照机器操作规程和保养常规工作。检查设备应指定专人负责保养检查，并随机建立操作规程卡。安全用电，杜绝差错事故及射线防护事故发生。</w:t>
      </w:r>
    </w:p>
    <w:p>
      <w:pPr>
        <w:keepNext w:val="0"/>
        <w:keepLines w:val="0"/>
        <w:pageBreakBefore w:val="0"/>
        <w:widowControl/>
        <w:kinsoku/>
        <w:wordWrap/>
        <w:overflowPunct/>
        <w:topLinePunct w:val="0"/>
        <w:autoSpaceDE/>
        <w:autoSpaceDN/>
        <w:bidi w:val="0"/>
        <w:adjustRightInd/>
        <w:snapToGrid/>
        <w:spacing w:line="360" w:lineRule="auto"/>
        <w:ind w:firstLine="840" w:firstLine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3、放射操作人员必须使用防护设备，定期进行健康检查。</w:t>
      </w:r>
    </w:p>
    <w:p>
      <w:pPr>
        <w:keepNext w:val="0"/>
        <w:keepLines w:val="0"/>
        <w:pageBreakBefore w:val="0"/>
        <w:widowControl/>
        <w:kinsoku/>
        <w:wordWrap/>
        <w:overflowPunct/>
        <w:topLinePunct w:val="0"/>
        <w:autoSpaceDE/>
        <w:autoSpaceDN/>
        <w:bidi w:val="0"/>
        <w:adjustRightInd/>
        <w:snapToGrid/>
        <w:spacing w:line="360" w:lineRule="auto"/>
        <w:ind w:firstLine="840" w:firstLine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4、保持工作室清洁，定期消毒，防止交叉感染。</w:t>
      </w:r>
    </w:p>
    <w:p>
      <w:pPr>
        <w:keepNext w:val="0"/>
        <w:keepLines w:val="0"/>
        <w:pageBreakBefore w:val="0"/>
        <w:widowControl/>
        <w:kinsoku/>
        <w:wordWrap/>
        <w:overflowPunct/>
        <w:topLinePunct w:val="0"/>
        <w:autoSpaceDE/>
        <w:autoSpaceDN/>
        <w:bidi w:val="0"/>
        <w:adjustRightInd/>
        <w:snapToGrid/>
        <w:spacing w:line="360" w:lineRule="auto"/>
        <w:ind w:left="805" w:leftChars="250" w:hanging="280" w:hangingChars="1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（七）后勤科工作职责</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1、加强政治思想工作，及时传达和贯彻上级文件精神。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2、注重全体后勤员工的政治学习和业务学习，不断提高思想和业务素质。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3、坚持早会及时传达院周会精神。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4、定期检查各部门的工作，听取意见、总结经验，及时布置周期性、季节性的工作任务。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5、严格劳动纪律，加强安全教育、法制教育，提倡社会主义精神文明，搞好文明生产、安全生产。</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6、严格拟定各项规章制度，发现问题及时处理，保证总务科工作的顺利进行。</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7、总务科的全年工作要有计划、有安排，经常深入基层检查工作完成情况，做好工作总结。</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8、严格财经纪律，认真执行申报、请示程序，任何个人不得越级、越权私自对外经济往来。</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9、勤俭持家，杜绝浪费，搞好增收节支工作。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10、加强团结，搞好与其它科室的协作关系，积极配合，支持其它科室的工作。</w:t>
      </w:r>
    </w:p>
    <w:p>
      <w:pPr>
        <w:keepNext w:val="0"/>
        <w:keepLines w:val="0"/>
        <w:pageBreakBefore w:val="0"/>
        <w:kinsoku/>
        <w:wordWrap/>
        <w:overflowPunct/>
        <w:topLinePunct w:val="0"/>
        <w:autoSpaceDE/>
        <w:autoSpaceDN/>
        <w:bidi w:val="0"/>
        <w:adjustRightInd/>
        <w:snapToGrid/>
        <w:spacing w:before="0" w:after="0" w:line="360" w:lineRule="auto"/>
        <w:ind w:firstLine="640"/>
        <w:jc w:val="left"/>
        <w:textAlignment w:val="auto"/>
        <w:outlineLvl w:val="9"/>
      </w:pPr>
      <w:r>
        <w:rPr>
          <w:rFonts w:ascii="方正楷体_GBK" w:hAnsi="方正楷体_GBK" w:eastAsia="方正楷体_GBK" w:cs="方正楷体_GBK"/>
          <w:b/>
          <w:color w:val="000000"/>
          <w:sz w:val="32"/>
        </w:rPr>
        <w:t>机构设置：</w:t>
      </w: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r>
        <w:rPr>
          <w:rFonts w:ascii="方正小标宋_GBK" w:hAnsi="方正小标宋_GBK" w:eastAsia="方正小标宋_GBK" w:cs="方正小标宋_GBK"/>
          <w:color w:val="000000"/>
          <w:sz w:val="32"/>
        </w:rPr>
        <w:t>单位机构设置情况</w:t>
      </w:r>
    </w:p>
    <w:tbl>
      <w:tblPr>
        <w:tblStyle w:val="9"/>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单位名称</w:t>
            </w:r>
          </w:p>
        </w:tc>
        <w:tc>
          <w:tcPr>
            <w:tcW w:w="2464"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单位性质</w:t>
            </w:r>
          </w:p>
        </w:tc>
        <w:tc>
          <w:tcPr>
            <w:tcW w:w="2464"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单位规格</w:t>
            </w:r>
          </w:p>
        </w:tc>
        <w:tc>
          <w:tcPr>
            <w:tcW w:w="2464"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霸州市东杨庄乡卫生院</w:t>
            </w:r>
          </w:p>
        </w:tc>
        <w:tc>
          <w:tcPr>
            <w:tcW w:w="2464"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事业</w:t>
            </w:r>
          </w:p>
        </w:tc>
        <w:tc>
          <w:tcPr>
            <w:tcW w:w="2464"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未定行政级别</w:t>
            </w:r>
          </w:p>
        </w:tc>
        <w:tc>
          <w:tcPr>
            <w:tcW w:w="2464"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财政性资金定额或定项补助</w:t>
            </w:r>
          </w:p>
        </w:tc>
      </w:tr>
    </w:tbl>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6" w:name="_Toc30699"/>
      <w:r>
        <w:rPr>
          <w:rFonts w:ascii="黑体" w:hAnsi="黑体" w:eastAsia="黑体" w:cs="黑体"/>
          <w:color w:val="000000"/>
          <w:sz w:val="32"/>
        </w:rPr>
        <w:t>二、单位预算安排的总体情况</w:t>
      </w:r>
      <w:bookmarkEnd w:id="16"/>
    </w:p>
    <w:p>
      <w:pPr>
        <w:keepNext w:val="0"/>
        <w:keepLines w:val="0"/>
        <w:pageBreakBefore w:val="0"/>
        <w:widowControl/>
        <w:kinsoku/>
        <w:wordWrap/>
        <w:overflowPunct/>
        <w:topLinePunct w:val="0"/>
        <w:autoSpaceDE/>
        <w:autoSpaceDN/>
        <w:bidi w:val="0"/>
        <w:adjustRightInd/>
        <w:snapToGrid/>
        <w:spacing w:line="360" w:lineRule="auto"/>
        <w:ind w:left="805" w:leftChars="250" w:hanging="280" w:hangingChars="1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按照预算管理有关规定，目前我省单位预算的编制实行综合预算管理，即全部收入和支出都反映在预算中。</w:t>
      </w:r>
    </w:p>
    <w:p>
      <w:pPr>
        <w:keepNext w:val="0"/>
        <w:keepLines w:val="0"/>
        <w:pageBreakBefore w:val="0"/>
        <w:widowControl/>
        <w:kinsoku/>
        <w:wordWrap/>
        <w:overflowPunct/>
        <w:topLinePunct w:val="0"/>
        <w:autoSpaceDE/>
        <w:autoSpaceDN/>
        <w:bidi w:val="0"/>
        <w:adjustRightInd/>
        <w:snapToGrid/>
        <w:spacing w:line="360" w:lineRule="auto"/>
        <w:ind w:left="805" w:leftChars="250" w:hanging="280" w:hangingChars="1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1、收入说明</w:t>
      </w:r>
    </w:p>
    <w:p>
      <w:pPr>
        <w:keepNext w:val="0"/>
        <w:keepLines w:val="0"/>
        <w:pageBreakBefore w:val="0"/>
        <w:widowControl/>
        <w:kinsoku/>
        <w:wordWrap/>
        <w:overflowPunct/>
        <w:topLinePunct w:val="0"/>
        <w:autoSpaceDE/>
        <w:autoSpaceDN/>
        <w:bidi w:val="0"/>
        <w:adjustRightInd/>
        <w:snapToGrid/>
        <w:spacing w:line="360" w:lineRule="auto"/>
        <w:ind w:left="804" w:leftChars="383" w:firstLine="280" w:firstLineChars="1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反映本单位当年全部收入。2022年预算收入194.96万元，其中：一般公共预算收入194.96万元，政府性基金预算收入0万元，国有资本经营预算收入0万元，财政专户管理资金收入0万元，上级补助收入0万元，事业收入0万元，经营收入0万元，附属单位上缴收入0万元，其他收入0万元，上年结转0万元。</w:t>
      </w:r>
    </w:p>
    <w:p>
      <w:pPr>
        <w:keepNext w:val="0"/>
        <w:keepLines w:val="0"/>
        <w:pageBreakBefore w:val="0"/>
        <w:widowControl/>
        <w:kinsoku/>
        <w:wordWrap/>
        <w:overflowPunct/>
        <w:topLinePunct w:val="0"/>
        <w:autoSpaceDE/>
        <w:autoSpaceDN/>
        <w:bidi w:val="0"/>
        <w:adjustRightInd/>
        <w:snapToGrid/>
        <w:spacing w:line="360" w:lineRule="auto"/>
        <w:ind w:left="805" w:leftChars="250" w:hanging="280" w:hangingChars="1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2、支出说明</w:t>
      </w:r>
    </w:p>
    <w:p>
      <w:pPr>
        <w:keepNext w:val="0"/>
        <w:keepLines w:val="0"/>
        <w:pageBreakBefore w:val="0"/>
        <w:widowControl/>
        <w:kinsoku/>
        <w:wordWrap/>
        <w:overflowPunct/>
        <w:topLinePunct w:val="0"/>
        <w:autoSpaceDE/>
        <w:autoSpaceDN/>
        <w:bidi w:val="0"/>
        <w:adjustRightInd/>
        <w:snapToGrid/>
        <w:spacing w:line="360" w:lineRule="auto"/>
        <w:ind w:left="804" w:leftChars="383" w:firstLine="280" w:firstLineChars="1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收支预算总表支出栏、基本支出表、项目支出表按经济分类和支出功能分类科目编制，反映霸州市东杨庄乡卫生院2022年度单位预算中支出预算的总体情况。2022年本单位支出预算194.96万元，其中：基本支出181.96万元，包括：人员类项目经费181.96万元和运转类公用项目经费0万元；运转类其他及特定目标类项目支出13万元，全部为本级支出，主要为关于提前下达2022年中央医疗服务与保障能力提升补助资金（中医药事业传承与发展部分）预算的通知（冀财社[2021]158号）的项目支出；上缴上级支出0万元，经营支出0万元，对附属单位补助支出0万元。</w:t>
      </w:r>
    </w:p>
    <w:p>
      <w:pPr>
        <w:keepNext w:val="0"/>
        <w:keepLines w:val="0"/>
        <w:pageBreakBefore w:val="0"/>
        <w:widowControl/>
        <w:kinsoku/>
        <w:wordWrap/>
        <w:overflowPunct/>
        <w:topLinePunct w:val="0"/>
        <w:autoSpaceDE/>
        <w:autoSpaceDN/>
        <w:bidi w:val="0"/>
        <w:adjustRightInd/>
        <w:snapToGrid/>
        <w:spacing w:line="360" w:lineRule="auto"/>
        <w:ind w:left="805" w:leftChars="250" w:hanging="280" w:hangingChars="1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3、比上年增减情况</w:t>
      </w:r>
    </w:p>
    <w:p>
      <w:pPr>
        <w:keepNext w:val="0"/>
        <w:keepLines w:val="0"/>
        <w:pageBreakBefore w:val="0"/>
        <w:widowControl/>
        <w:kinsoku/>
        <w:wordWrap/>
        <w:overflowPunct/>
        <w:topLinePunct w:val="0"/>
        <w:autoSpaceDE/>
        <w:autoSpaceDN/>
        <w:bidi w:val="0"/>
        <w:adjustRightInd/>
        <w:snapToGrid/>
        <w:spacing w:line="360" w:lineRule="auto"/>
        <w:ind w:left="804" w:leftChars="383" w:firstLine="280" w:firstLineChars="100"/>
        <w:jc w:val="left"/>
        <w:textAlignment w:val="auto"/>
      </w:pPr>
      <w:r>
        <w:rPr>
          <w:rFonts w:hint="eastAsia" w:ascii="Times New Roman" w:hAnsi="Times New Roman" w:eastAsia="方正仿宋_GBK" w:cs="Times New Roman"/>
          <w:kern w:val="0"/>
          <w:sz w:val="28"/>
          <w:szCs w:val="24"/>
          <w:lang w:val="en-US" w:eastAsia="zh-CN" w:bidi="ar-SA"/>
        </w:rPr>
        <w:t>2022年预算收支安排194.96万元，较2021预算增加13.95万元，其中：基本支出增加0.95万元，主要为普调人员基本工资，增加人员经费预算支出；项目支出增加13万元，主要为增设国医堂医疗服务，保障能力提升医药事业传承与发展。</w:t>
      </w:r>
    </w:p>
    <w:p>
      <w:pPr>
        <w:keepNext w:val="0"/>
        <w:keepLines w:val="0"/>
        <w:pageBreakBefore w:val="0"/>
        <w:numPr>
          <w:ilvl w:val="0"/>
          <w:numId w:val="1"/>
        </w:numPr>
        <w:kinsoku/>
        <w:wordWrap/>
        <w:overflowPunct/>
        <w:topLinePunct w:val="0"/>
        <w:autoSpaceDE/>
        <w:autoSpaceDN/>
        <w:bidi w:val="0"/>
        <w:adjustRightInd/>
        <w:snapToGrid/>
        <w:spacing w:before="10" w:after="10" w:line="360" w:lineRule="auto"/>
        <w:ind w:firstLine="640"/>
        <w:jc w:val="left"/>
        <w:textAlignment w:val="auto"/>
        <w:outlineLvl w:val="0"/>
        <w:rPr>
          <w:rFonts w:ascii="黑体" w:hAnsi="黑体" w:eastAsia="黑体" w:cs="黑体"/>
          <w:color w:val="000000"/>
          <w:sz w:val="32"/>
        </w:rPr>
      </w:pPr>
      <w:bookmarkStart w:id="17" w:name="_Toc9330"/>
      <w:r>
        <w:rPr>
          <w:rFonts w:ascii="黑体" w:hAnsi="黑体" w:eastAsia="黑体" w:cs="黑体"/>
          <w:color w:val="000000"/>
          <w:sz w:val="32"/>
        </w:rPr>
        <w:t>机关运行经费安排情况</w:t>
      </w:r>
      <w:bookmarkEnd w:id="17"/>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sz w:val="32"/>
          <w:szCs w:val="32"/>
          <w:highlight w:val="none"/>
          <w:lang w:eastAsia="zh-CN"/>
        </w:rPr>
      </w:pPr>
      <w:r>
        <w:rPr>
          <w:rFonts w:hint="eastAsia" w:ascii="Times New Roman" w:hAnsi="Times New Roman" w:eastAsia="方正仿宋_GBK" w:cs="Times New Roman"/>
          <w:kern w:val="0"/>
          <w:sz w:val="28"/>
          <w:szCs w:val="24"/>
          <w:lang w:val="en-US" w:eastAsia="zh-CN" w:bidi="ar-SA"/>
        </w:rPr>
        <w:t>2022年，我单位运行经费共计安排0万元。</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default" w:ascii="仿宋_GB2312" w:hAnsi="Times New Roman" w:eastAsia="仿宋_GB2312" w:cs="Times New Roman"/>
          <w:sz w:val="32"/>
          <w:szCs w:val="32"/>
          <w:highlight w:val="none"/>
          <w:lang w:val="en-US" w:eastAsia="zh-CN"/>
        </w:rPr>
      </w:pPr>
    </w:p>
    <w:p>
      <w:pPr>
        <w:keepNext w:val="0"/>
        <w:keepLines w:val="0"/>
        <w:pageBreakBefore w:val="0"/>
        <w:numPr>
          <w:ilvl w:val="0"/>
          <w:numId w:val="1"/>
        </w:numPr>
        <w:kinsoku/>
        <w:wordWrap/>
        <w:overflowPunct/>
        <w:topLinePunct w:val="0"/>
        <w:autoSpaceDE/>
        <w:autoSpaceDN/>
        <w:bidi w:val="0"/>
        <w:adjustRightInd/>
        <w:snapToGrid/>
        <w:spacing w:before="10" w:after="10" w:line="360" w:lineRule="auto"/>
        <w:ind w:left="0" w:leftChars="0" w:firstLine="640" w:firstLineChars="0"/>
        <w:jc w:val="left"/>
        <w:textAlignment w:val="auto"/>
        <w:outlineLvl w:val="0"/>
        <w:rPr>
          <w:rFonts w:ascii="黑体" w:hAnsi="黑体" w:eastAsia="黑体" w:cs="黑体"/>
          <w:color w:val="000000"/>
          <w:sz w:val="32"/>
        </w:rPr>
      </w:pPr>
      <w:bookmarkStart w:id="18" w:name="_Toc6985"/>
      <w:r>
        <w:rPr>
          <w:rFonts w:ascii="黑体" w:hAnsi="黑体" w:eastAsia="黑体" w:cs="黑体"/>
          <w:color w:val="000000"/>
          <w:sz w:val="32"/>
        </w:rPr>
        <w:t>财政拨款“三公”经费预算情况及增减变化原因</w:t>
      </w:r>
      <w:bookmarkEnd w:id="18"/>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sz w:val="32"/>
          <w:szCs w:val="32"/>
          <w:highlight w:val="none"/>
          <w:lang w:val="en-US" w:eastAsia="zh-CN"/>
        </w:rPr>
      </w:pPr>
      <w:r>
        <w:rPr>
          <w:rFonts w:hint="eastAsia" w:ascii="Times New Roman" w:hAnsi="Times New Roman" w:eastAsia="方正仿宋_GBK" w:cs="Times New Roman"/>
          <w:kern w:val="0"/>
          <w:sz w:val="28"/>
          <w:szCs w:val="24"/>
          <w:lang w:val="en-US" w:eastAsia="zh-CN" w:bidi="ar-SA"/>
        </w:rPr>
        <w:t>2022年，我单位“三公”经费预算安排0万元，其中：因公出国（境）费0万元；公务用车购置及运维费0万元（其中：公务用车购置费0万元，公务用车运行维护费0万元)；公务接待费0万元，与2021年持平，无增减变化。</w:t>
      </w:r>
    </w:p>
    <w:p>
      <w:pPr>
        <w:pStyle w:val="24"/>
        <w:keepNext w:val="0"/>
        <w:keepLines w:val="0"/>
        <w:pageBreakBefore w:val="0"/>
        <w:kinsoku/>
        <w:wordWrap/>
        <w:overflowPunct/>
        <w:topLinePunct w:val="0"/>
        <w:autoSpaceDE/>
        <w:autoSpaceDN/>
        <w:bidi w:val="0"/>
        <w:adjustRightInd/>
        <w:snapToGrid/>
        <w:spacing w:line="360" w:lineRule="auto"/>
        <w:textAlignment w:val="auto"/>
      </w:pPr>
    </w:p>
    <w:p>
      <w:pPr>
        <w:pStyle w:val="24"/>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numPr>
          <w:ilvl w:val="0"/>
          <w:numId w:val="2"/>
        </w:numPr>
        <w:kinsoku/>
        <w:wordWrap/>
        <w:overflowPunct/>
        <w:topLinePunct w:val="0"/>
        <w:autoSpaceDE/>
        <w:autoSpaceDN/>
        <w:bidi w:val="0"/>
        <w:adjustRightInd/>
        <w:snapToGrid/>
        <w:spacing w:before="10" w:after="10" w:line="360" w:lineRule="auto"/>
        <w:ind w:firstLine="640"/>
        <w:jc w:val="left"/>
        <w:textAlignment w:val="auto"/>
        <w:outlineLvl w:val="0"/>
        <w:rPr>
          <w:rFonts w:ascii="黑体" w:hAnsi="黑体" w:eastAsia="黑体" w:cs="黑体"/>
          <w:color w:val="000000"/>
          <w:sz w:val="32"/>
        </w:rPr>
      </w:pPr>
      <w:bookmarkStart w:id="19" w:name="_Toc13036"/>
      <w:r>
        <w:rPr>
          <w:rFonts w:ascii="黑体" w:hAnsi="黑体" w:eastAsia="黑体" w:cs="黑体"/>
          <w:b/>
          <w:bCs/>
          <w:color w:val="000000"/>
          <w:sz w:val="32"/>
        </w:rPr>
        <w:t>预算绩效</w:t>
      </w:r>
      <w:bookmarkEnd w:id="19"/>
    </w:p>
    <w:p>
      <w:pPr>
        <w:keepNext w:val="0"/>
        <w:keepLines w:val="0"/>
        <w:pageBreakBefore w:val="0"/>
        <w:widowControl/>
        <w:kinsoku/>
        <w:wordWrap/>
        <w:overflowPunct/>
        <w:topLinePunct w:val="0"/>
        <w:autoSpaceDE/>
        <w:autoSpaceDN/>
        <w:bidi w:val="0"/>
        <w:adjustRightInd/>
        <w:snapToGrid/>
        <w:spacing w:line="360" w:lineRule="auto"/>
        <w:ind w:left="804" w:leftChars="383" w:firstLine="280" w:firstLineChars="1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1、关于提前下达2022年中央医疗服务与保障能力提升补助资金（中医药事业传承与发展部分）预算的通知（冀财社[2021]158号）绩效目标表</w:t>
      </w:r>
    </w:p>
    <w:p>
      <w:pPr>
        <w:keepNext w:val="0"/>
        <w:keepLines w:val="0"/>
        <w:pageBreakBefore w:val="0"/>
        <w:kinsoku/>
        <w:wordWrap/>
        <w:overflowPunct/>
        <w:topLinePunct w:val="0"/>
        <w:autoSpaceDE/>
        <w:autoSpaceDN/>
        <w:bidi w:val="0"/>
        <w:adjustRightInd/>
        <w:snapToGrid/>
        <w:spacing w:before="0" w:after="0" w:line="360" w:lineRule="auto"/>
        <w:ind w:firstLine="0"/>
        <w:jc w:val="both"/>
        <w:textAlignment w:val="auto"/>
        <w:outlineLvl w:val="9"/>
        <w:rPr>
          <w:rFonts w:ascii="方正书宋_GBK" w:hAnsi="方正书宋_GBK" w:eastAsia="方正书宋_GBK" w:cs="方正书宋_GBK"/>
          <w:color w:val="000000"/>
          <w:sz w:val="18"/>
        </w:rPr>
      </w:pPr>
    </w:p>
    <w:p>
      <w:pPr>
        <w:keepNext w:val="0"/>
        <w:keepLines w:val="0"/>
        <w:pageBreakBefore w:val="0"/>
        <w:kinsoku/>
        <w:wordWrap/>
        <w:overflowPunct/>
        <w:topLinePunct w:val="0"/>
        <w:autoSpaceDE/>
        <w:autoSpaceDN/>
        <w:bidi w:val="0"/>
        <w:adjustRightInd/>
        <w:snapToGrid/>
        <w:spacing w:before="0" w:after="0" w:line="360" w:lineRule="auto"/>
        <w:ind w:firstLine="0"/>
        <w:jc w:val="both"/>
        <w:textAlignment w:val="auto"/>
        <w:outlineLvl w:val="9"/>
      </w:pPr>
      <w:r>
        <w:rPr>
          <w:rFonts w:ascii="方正书宋_GBK" w:hAnsi="方正书宋_GBK" w:eastAsia="方正书宋_GBK" w:cs="方正书宋_GBK"/>
          <w:color w:val="000000"/>
          <w:sz w:val="18"/>
        </w:rPr>
        <w:t xml:space="preserve"> </w:t>
      </w:r>
    </w:p>
    <w:tbl>
      <w:tblPr>
        <w:tblStyle w:val="9"/>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一级指标</w:t>
            </w:r>
          </w:p>
        </w:tc>
        <w:tc>
          <w:tcPr>
            <w:tcW w:w="2466"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二级指标</w:t>
            </w:r>
          </w:p>
        </w:tc>
        <w:tc>
          <w:tcPr>
            <w:tcW w:w="2466"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三级指标</w:t>
            </w:r>
          </w:p>
        </w:tc>
        <w:tc>
          <w:tcPr>
            <w:tcW w:w="2466"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绩效指标描述</w:t>
            </w:r>
          </w:p>
        </w:tc>
        <w:tc>
          <w:tcPr>
            <w:tcW w:w="2466"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指标值</w:t>
            </w:r>
          </w:p>
        </w:tc>
        <w:tc>
          <w:tcPr>
            <w:tcW w:w="2466"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产出指标</w:t>
            </w:r>
          </w:p>
        </w:tc>
        <w:tc>
          <w:tcPr>
            <w:tcW w:w="2466"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数量指标</w:t>
            </w:r>
          </w:p>
        </w:tc>
        <w:tc>
          <w:tcPr>
            <w:tcW w:w="2466"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 xml:space="preserve"> 购置设备</w:t>
            </w:r>
          </w:p>
        </w:tc>
        <w:tc>
          <w:tcPr>
            <w:tcW w:w="2466"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 xml:space="preserve"> 购置医疗设备</w:t>
            </w:r>
          </w:p>
        </w:tc>
        <w:tc>
          <w:tcPr>
            <w:tcW w:w="2466"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1  批</w:t>
            </w:r>
          </w:p>
        </w:tc>
        <w:tc>
          <w:tcPr>
            <w:tcW w:w="2466"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keepNext w:val="0"/>
              <w:keepLines w:val="0"/>
              <w:pageBreakBefore w:val="0"/>
              <w:kinsoku/>
              <w:wordWrap/>
              <w:overflowPunct/>
              <w:topLinePunct w:val="0"/>
              <w:autoSpaceDE/>
              <w:autoSpaceDN/>
              <w:bidi w:val="0"/>
              <w:adjustRightInd/>
              <w:snapToGrid/>
              <w:spacing w:line="360" w:lineRule="auto"/>
              <w:textAlignment w:val="auto"/>
            </w:pPr>
          </w:p>
        </w:tc>
        <w:tc>
          <w:tcPr>
            <w:tcW w:w="2466" w:type="dxa"/>
            <w:vAlign w:val="center"/>
          </w:tcPr>
          <w:tbl>
            <w:tblPr>
              <w:tblStyle w:val="9"/>
              <w:tblpPr w:leftFromText="180" w:rightFromText="180" w:vertAnchor="text" w:horzAnchor="page" w:tblpX="-2513" w:tblpY="-781"/>
              <w:tblOverlap w:val="never"/>
              <w:tblW w:w="14798" w:type="dxa"/>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trPr>
              <w:tc>
                <w:tcPr>
                  <w:tcW w:w="7399" w:type="dxa"/>
                  <w:tcBorders>
                    <w:bottom w:val="single" w:color="FFFFFF" w:sz="6" w:space="0"/>
                  </w:tcBorders>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绩效目标</w:t>
                  </w:r>
                </w:p>
              </w:tc>
              <w:tc>
                <w:tcPr>
                  <w:tcW w:w="7399" w:type="dxa"/>
                  <w:tcBorders>
                    <w:bottom w:val="single" w:color="FFFFFF" w:sz="6" w:space="0"/>
                  </w:tcBorders>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1.通过建设国医堂，提高医疗水平。</w:t>
                  </w:r>
                </w:p>
              </w:tc>
            </w:tr>
          </w:tbl>
          <w:p>
            <w:pPr>
              <w:pStyle w:val="16"/>
              <w:keepNext w:val="0"/>
              <w:keepLines w:val="0"/>
              <w:pageBreakBefore w:val="0"/>
              <w:kinsoku/>
              <w:wordWrap/>
              <w:overflowPunct/>
              <w:topLinePunct w:val="0"/>
              <w:autoSpaceDE/>
              <w:autoSpaceDN/>
              <w:bidi w:val="0"/>
              <w:adjustRightInd/>
              <w:snapToGrid/>
              <w:spacing w:line="360" w:lineRule="auto"/>
              <w:textAlignment w:val="auto"/>
            </w:pPr>
            <w:r>
              <w:t>质量指标</w:t>
            </w:r>
          </w:p>
        </w:tc>
        <w:tc>
          <w:tcPr>
            <w:tcW w:w="2466"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 xml:space="preserve"> 验收合格率</w:t>
            </w:r>
          </w:p>
        </w:tc>
        <w:tc>
          <w:tcPr>
            <w:tcW w:w="2466"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 xml:space="preserve"> 医疗设备验收合格率</w:t>
            </w:r>
          </w:p>
        </w:tc>
        <w:tc>
          <w:tcPr>
            <w:tcW w:w="2466"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100 %</w:t>
            </w:r>
          </w:p>
        </w:tc>
        <w:tc>
          <w:tcPr>
            <w:tcW w:w="2466"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keepNext w:val="0"/>
              <w:keepLines w:val="0"/>
              <w:pageBreakBefore w:val="0"/>
              <w:kinsoku/>
              <w:wordWrap/>
              <w:overflowPunct/>
              <w:topLinePunct w:val="0"/>
              <w:autoSpaceDE/>
              <w:autoSpaceDN/>
              <w:bidi w:val="0"/>
              <w:adjustRightInd/>
              <w:snapToGrid/>
              <w:spacing w:line="360" w:lineRule="auto"/>
              <w:textAlignment w:val="auto"/>
            </w:pPr>
          </w:p>
        </w:tc>
        <w:tc>
          <w:tcPr>
            <w:tcW w:w="2466"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时效指标</w:t>
            </w:r>
          </w:p>
        </w:tc>
        <w:tc>
          <w:tcPr>
            <w:tcW w:w="2466"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 xml:space="preserve"> 完成验收时间</w:t>
            </w:r>
          </w:p>
        </w:tc>
        <w:tc>
          <w:tcPr>
            <w:tcW w:w="2466"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 xml:space="preserve"> 医疗设备验收时间</w:t>
            </w:r>
          </w:p>
        </w:tc>
        <w:tc>
          <w:tcPr>
            <w:tcW w:w="2466"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≤10 月</w:t>
            </w:r>
          </w:p>
        </w:tc>
        <w:tc>
          <w:tcPr>
            <w:tcW w:w="2466"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keepNext w:val="0"/>
              <w:keepLines w:val="0"/>
              <w:pageBreakBefore w:val="0"/>
              <w:kinsoku/>
              <w:wordWrap/>
              <w:overflowPunct/>
              <w:topLinePunct w:val="0"/>
              <w:autoSpaceDE/>
              <w:autoSpaceDN/>
              <w:bidi w:val="0"/>
              <w:adjustRightInd/>
              <w:snapToGrid/>
              <w:spacing w:line="360" w:lineRule="auto"/>
              <w:textAlignment w:val="auto"/>
            </w:pPr>
          </w:p>
        </w:tc>
        <w:tc>
          <w:tcPr>
            <w:tcW w:w="2466"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成本指标</w:t>
            </w:r>
          </w:p>
        </w:tc>
        <w:tc>
          <w:tcPr>
            <w:tcW w:w="2466"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 xml:space="preserve"> 项目成本</w:t>
            </w:r>
          </w:p>
        </w:tc>
        <w:tc>
          <w:tcPr>
            <w:tcW w:w="2466"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 xml:space="preserve"> 该项目建设成本</w:t>
            </w:r>
          </w:p>
        </w:tc>
        <w:tc>
          <w:tcPr>
            <w:tcW w:w="2466"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13 万元</w:t>
            </w:r>
          </w:p>
        </w:tc>
        <w:tc>
          <w:tcPr>
            <w:tcW w:w="2466"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效益指标</w:t>
            </w:r>
          </w:p>
        </w:tc>
        <w:tc>
          <w:tcPr>
            <w:tcW w:w="2466"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社会效益指标</w:t>
            </w:r>
          </w:p>
        </w:tc>
        <w:tc>
          <w:tcPr>
            <w:tcW w:w="2466"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 xml:space="preserve"> 提高保障</w:t>
            </w:r>
          </w:p>
        </w:tc>
        <w:tc>
          <w:tcPr>
            <w:tcW w:w="2466"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 xml:space="preserve"> 提高医疗保障</w:t>
            </w:r>
          </w:p>
        </w:tc>
        <w:tc>
          <w:tcPr>
            <w:tcW w:w="2466"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 xml:space="preserve"> 提高</w:t>
            </w:r>
          </w:p>
        </w:tc>
        <w:tc>
          <w:tcPr>
            <w:tcW w:w="2466"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满意度指标</w:t>
            </w:r>
          </w:p>
        </w:tc>
        <w:tc>
          <w:tcPr>
            <w:tcW w:w="2466"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服务对象满意度指标</w:t>
            </w:r>
          </w:p>
        </w:tc>
        <w:tc>
          <w:tcPr>
            <w:tcW w:w="2466"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 xml:space="preserve"> 患者满意度</w:t>
            </w:r>
          </w:p>
        </w:tc>
        <w:tc>
          <w:tcPr>
            <w:tcW w:w="2466"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 xml:space="preserve"> 调查中，满意患者人数占总调查人数的比例。</w:t>
            </w:r>
          </w:p>
        </w:tc>
        <w:tc>
          <w:tcPr>
            <w:tcW w:w="2466"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≥95%</w:t>
            </w:r>
          </w:p>
        </w:tc>
        <w:tc>
          <w:tcPr>
            <w:tcW w:w="2466"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r>
              <w:t xml:space="preserve"> 计划标准</w:t>
            </w:r>
          </w:p>
        </w:tc>
      </w:tr>
    </w:tbl>
    <w:p>
      <w:pPr>
        <w:keepNext w:val="0"/>
        <w:keepLines w:val="0"/>
        <w:pageBreakBefore w:val="0"/>
        <w:kinsoku/>
        <w:wordWrap/>
        <w:overflowPunct/>
        <w:topLinePunct w:val="0"/>
        <w:autoSpaceDE/>
        <w:autoSpaceDN/>
        <w:bidi w:val="0"/>
        <w:adjustRightInd/>
        <w:snapToGrid/>
        <w:spacing w:before="10" w:after="10" w:line="360" w:lineRule="auto"/>
        <w:jc w:val="left"/>
        <w:textAlignment w:val="auto"/>
        <w:outlineLvl w:val="9"/>
        <w:rPr>
          <w:rFonts w:ascii="黑体" w:hAnsi="黑体" w:eastAsia="黑体" w:cs="黑体"/>
          <w:color w:val="000000"/>
          <w:sz w:val="32"/>
        </w:rPr>
      </w:pPr>
    </w:p>
    <w:p>
      <w:pPr>
        <w:keepNext w:val="0"/>
        <w:keepLines w:val="0"/>
        <w:pageBreakBefore w:val="0"/>
        <w:kinsoku/>
        <w:wordWrap/>
        <w:overflowPunct/>
        <w:topLinePunct w:val="0"/>
        <w:autoSpaceDE/>
        <w:autoSpaceDN/>
        <w:bidi w:val="0"/>
        <w:adjustRightInd/>
        <w:snapToGrid/>
        <w:spacing w:before="10" w:after="10" w:line="360" w:lineRule="auto"/>
        <w:ind w:firstLine="640" w:firstLineChars="200"/>
        <w:jc w:val="left"/>
        <w:textAlignment w:val="auto"/>
        <w:outlineLvl w:val="0"/>
      </w:pPr>
      <w:bookmarkStart w:id="20" w:name="_Toc25405"/>
      <w:r>
        <w:rPr>
          <w:rFonts w:ascii="黑体" w:hAnsi="黑体" w:eastAsia="黑体" w:cs="黑体"/>
          <w:color w:val="000000"/>
          <w:sz w:val="32"/>
        </w:rPr>
        <w:t>六、政府采购预算情况</w:t>
      </w:r>
      <w:bookmarkEnd w:id="20"/>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2022年，霸州市东杨庄乡卫生院安排政府采购预算0.00万元。具体内容见下表。</w:t>
      </w:r>
    </w:p>
    <w:p>
      <w:pPr>
        <w:keepNext w:val="0"/>
        <w:keepLines w:val="0"/>
        <w:pageBreakBefore w:val="0"/>
        <w:kinsoku/>
        <w:wordWrap/>
        <w:overflowPunct/>
        <w:topLinePunct w:val="0"/>
        <w:autoSpaceDE/>
        <w:autoSpaceDN/>
        <w:bidi w:val="0"/>
        <w:adjustRightInd/>
        <w:snapToGrid/>
        <w:spacing w:before="0" w:after="0" w:line="360" w:lineRule="auto"/>
        <w:ind w:firstLine="5040" w:firstLineChars="1400"/>
        <w:jc w:val="both"/>
        <w:textAlignment w:val="auto"/>
        <w:outlineLvl w:val="9"/>
      </w:pPr>
      <w:r>
        <w:rPr>
          <w:rFonts w:ascii="方正小标宋_GBK" w:hAnsi="方正小标宋_GBK" w:eastAsia="方正小标宋_GBK" w:cs="方正小标宋_GBK"/>
          <w:color w:val="000000"/>
          <w:sz w:val="36"/>
        </w:rPr>
        <w:t>单位政府采购预算</w:t>
      </w:r>
    </w:p>
    <w:tbl>
      <w:tblPr>
        <w:tblStyle w:val="9"/>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800011霸州市东杨庄乡卫生院</w:t>
            </w:r>
          </w:p>
        </w:tc>
        <w:tc>
          <w:tcPr>
            <w:tcW w:w="8316" w:type="dxa"/>
            <w:gridSpan w:val="9"/>
            <w:tcBorders>
              <w:top w:val="single" w:color="FFFFFF" w:sz="6" w:space="0"/>
              <w:left w:val="single" w:color="FFFFFF" w:sz="6" w:space="0"/>
              <w:right w:val="single" w:color="FFFFFF" w:sz="6" w:space="0"/>
            </w:tcBorders>
            <w:vAlign w:val="center"/>
          </w:tcPr>
          <w:p>
            <w:pPr>
              <w:pStyle w:val="25"/>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政府采购项目来源</w:t>
            </w:r>
          </w:p>
        </w:tc>
        <w:tc>
          <w:tcPr>
            <w:tcW w:w="924" w:type="dxa"/>
            <w:vMerge w:val="restart"/>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采购物品名称</w:t>
            </w:r>
          </w:p>
        </w:tc>
        <w:tc>
          <w:tcPr>
            <w:tcW w:w="924" w:type="dxa"/>
            <w:vMerge w:val="restart"/>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政府采购目录序号</w:t>
            </w:r>
          </w:p>
        </w:tc>
        <w:tc>
          <w:tcPr>
            <w:tcW w:w="924" w:type="dxa"/>
            <w:vMerge w:val="restart"/>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计量  单位</w:t>
            </w:r>
          </w:p>
        </w:tc>
        <w:tc>
          <w:tcPr>
            <w:tcW w:w="924" w:type="dxa"/>
            <w:vMerge w:val="restart"/>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数量</w:t>
            </w:r>
          </w:p>
        </w:tc>
        <w:tc>
          <w:tcPr>
            <w:tcW w:w="924" w:type="dxa"/>
            <w:vMerge w:val="restart"/>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单价</w:t>
            </w:r>
          </w:p>
        </w:tc>
        <w:tc>
          <w:tcPr>
            <w:tcW w:w="7392" w:type="dxa"/>
            <w:gridSpan w:val="8"/>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政府采购金额（当年部门预算安排资金）</w:t>
            </w:r>
          </w:p>
        </w:tc>
        <w:tc>
          <w:tcPr>
            <w:tcW w:w="924" w:type="dxa"/>
            <w:vMerge w:val="restart"/>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项目名称</w:t>
            </w:r>
          </w:p>
        </w:tc>
        <w:tc>
          <w:tcPr>
            <w:tcW w:w="924"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预算    资金</w:t>
            </w: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合计</w:t>
            </w:r>
          </w:p>
        </w:tc>
        <w:tc>
          <w:tcPr>
            <w:tcW w:w="924"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一般公共预算拨款</w:t>
            </w:r>
          </w:p>
        </w:tc>
        <w:tc>
          <w:tcPr>
            <w:tcW w:w="924"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基金预算拨款</w:t>
            </w:r>
          </w:p>
        </w:tc>
        <w:tc>
          <w:tcPr>
            <w:tcW w:w="924"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国有资本经营预算拨款</w:t>
            </w:r>
          </w:p>
        </w:tc>
        <w:tc>
          <w:tcPr>
            <w:tcW w:w="924"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财政专户核拨</w:t>
            </w:r>
          </w:p>
        </w:tc>
        <w:tc>
          <w:tcPr>
            <w:tcW w:w="924"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单位    资金</w:t>
            </w:r>
          </w:p>
        </w:tc>
        <w:tc>
          <w:tcPr>
            <w:tcW w:w="924"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财政拨    款结转</w:t>
            </w:r>
          </w:p>
        </w:tc>
        <w:tc>
          <w:tcPr>
            <w:tcW w:w="924"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非财政    拨款结    转结余</w:t>
            </w: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7"/>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before="0" w:after="0" w:line="360" w:lineRule="auto"/>
        <w:ind w:firstLine="420"/>
        <w:jc w:val="left"/>
        <w:textAlignment w:val="auto"/>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keepNext w:val="0"/>
        <w:keepLines w:val="0"/>
        <w:pageBreakBefore w:val="0"/>
        <w:kinsoku/>
        <w:wordWrap/>
        <w:overflowPunct/>
        <w:topLinePunct w:val="0"/>
        <w:autoSpaceDE/>
        <w:autoSpaceDN/>
        <w:bidi w:val="0"/>
        <w:adjustRightInd/>
        <w:snapToGrid/>
        <w:spacing w:before="0" w:after="0" w:line="360" w:lineRule="auto"/>
        <w:ind w:firstLine="420"/>
        <w:jc w:val="left"/>
        <w:textAlignment w:val="auto"/>
        <w:outlineLvl w:val="9"/>
      </w:pPr>
      <w:r>
        <w:rPr>
          <w:rFonts w:ascii="方正书宋_GBK" w:hAnsi="方正书宋_GBK" w:eastAsia="方正书宋_GBK" w:cs="方正书宋_GBK"/>
          <w:color w:val="000000"/>
          <w:sz w:val="21"/>
        </w:rPr>
        <w:t>注：无政府采购预算，空表列示。</w:t>
      </w:r>
    </w:p>
    <w:p>
      <w:pPr>
        <w:keepNext w:val="0"/>
        <w:keepLines w:val="0"/>
        <w:pageBreakBefore w:val="0"/>
        <w:kinsoku/>
        <w:wordWrap/>
        <w:overflowPunct/>
        <w:topLinePunct w:val="0"/>
        <w:autoSpaceDE/>
        <w:autoSpaceDN/>
        <w:bidi w:val="0"/>
        <w:adjustRightInd/>
        <w:snapToGrid/>
        <w:spacing w:before="0" w:after="0" w:line="360" w:lineRule="auto"/>
        <w:ind w:firstLine="640"/>
        <w:jc w:val="left"/>
        <w:textAlignment w:val="auto"/>
        <w:outlineLvl w:val="9"/>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 xml:space="preserve"> </w:t>
      </w: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21" w:name="_Toc27019"/>
      <w:r>
        <w:rPr>
          <w:rFonts w:ascii="黑体" w:hAnsi="黑体" w:eastAsia="黑体" w:cs="黑体"/>
          <w:color w:val="000000"/>
          <w:sz w:val="32"/>
        </w:rPr>
        <w:t>七、国有资产信息</w:t>
      </w:r>
      <w:bookmarkEnd w:id="21"/>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霸州市东杨庄乡卫生院上年末固定资产金额</w:t>
      </w:r>
      <w:r>
        <w:rPr>
          <w:rFonts w:ascii="Times New Roman" w:hAnsi="Times New Roman" w:eastAsia="方正仿宋_GBK" w:cs="Times New Roman"/>
          <w:b w:val="0"/>
          <w:color w:val="000000"/>
          <w:sz w:val="28"/>
          <w:highlight w:val="none"/>
        </w:rPr>
        <w:t>为</w:t>
      </w:r>
      <w:r>
        <w:rPr>
          <w:rFonts w:hint="eastAsia" w:ascii="Times New Roman" w:hAnsi="Times New Roman" w:eastAsia="方正仿宋_GBK" w:cs="Times New Roman"/>
          <w:b w:val="0"/>
          <w:color w:val="000000"/>
          <w:sz w:val="28"/>
          <w:highlight w:val="none"/>
          <w:lang w:val="en-US" w:eastAsia="zh-CN"/>
        </w:rPr>
        <w:t>446.40</w:t>
      </w:r>
      <w:r>
        <w:rPr>
          <w:rFonts w:ascii="Times New Roman" w:hAnsi="Times New Roman" w:eastAsia="方正仿宋_GBK" w:cs="Times New Roman"/>
          <w:b w:val="0"/>
          <w:color w:val="000000"/>
          <w:sz w:val="28"/>
          <w:highlight w:val="none"/>
        </w:rPr>
        <w:t>万元（详</w:t>
      </w:r>
      <w:r>
        <w:rPr>
          <w:rFonts w:ascii="Times New Roman" w:hAnsi="Times New Roman" w:eastAsia="方正仿宋_GBK" w:cs="Times New Roman"/>
          <w:b w:val="0"/>
          <w:color w:val="000000"/>
          <w:sz w:val="28"/>
        </w:rPr>
        <w:t>见下表）。本年度拟购置固定资产总额为0.00万元，已按要求列入政府采购预算，详见政府采购预算表。</w:t>
      </w: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bookmarkStart w:id="22" w:name="_Toc4751"/>
      <w:r>
        <w:rPr>
          <w:rFonts w:ascii="方正小标宋_GBK" w:hAnsi="方正小标宋_GBK" w:eastAsia="方正小标宋_GBK" w:cs="方正小标宋_GBK"/>
          <w:color w:val="000000"/>
          <w:sz w:val="36"/>
        </w:rPr>
        <w:t>单位固定资产占用情况表</w:t>
      </w:r>
      <w:bookmarkEnd w:id="22"/>
    </w:p>
    <w:tbl>
      <w:tblPr>
        <w:tblStyle w:val="9"/>
        <w:tblW w:w="14237" w:type="dxa"/>
        <w:tblInd w:w="93" w:type="dxa"/>
        <w:tblLayout w:type="fixed"/>
        <w:tblCellMar>
          <w:top w:w="0" w:type="dxa"/>
          <w:left w:w="108" w:type="dxa"/>
          <w:bottom w:w="0" w:type="dxa"/>
          <w:right w:w="108" w:type="dxa"/>
        </w:tblCellMar>
      </w:tblPr>
      <w:tblGrid>
        <w:gridCol w:w="5224"/>
        <w:gridCol w:w="3548"/>
        <w:gridCol w:w="5465"/>
      </w:tblGrid>
      <w:tr>
        <w:tblPrEx>
          <w:tblCellMar>
            <w:top w:w="0" w:type="dxa"/>
            <w:left w:w="108" w:type="dxa"/>
            <w:bottom w:w="0" w:type="dxa"/>
            <w:right w:w="108" w:type="dxa"/>
          </w:tblCellMar>
        </w:tblPrEx>
        <w:trPr>
          <w:trHeight w:val="705" w:hRule="atLeast"/>
        </w:trPr>
        <w:tc>
          <w:tcPr>
            <w:tcW w:w="14237" w:type="dxa"/>
            <w:gridSpan w:val="3"/>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kern w:val="0"/>
                <w:sz w:val="32"/>
                <w:szCs w:val="32"/>
                <w:highlight w:val="none"/>
              </w:rPr>
            </w:pPr>
            <w:r>
              <w:rPr>
                <w:rFonts w:hint="eastAsia" w:ascii="宋体" w:hAnsi="宋体" w:eastAsia="宋体" w:cs="宋体"/>
                <w:b/>
                <w:bCs/>
                <w:kern w:val="0"/>
                <w:sz w:val="32"/>
                <w:szCs w:val="32"/>
                <w:highlight w:val="none"/>
                <w:lang w:val="en-US" w:eastAsia="zh-CN"/>
              </w:rPr>
              <w:t>霸州市东杨庄乡卫生院单位</w:t>
            </w:r>
            <w:r>
              <w:rPr>
                <w:rFonts w:hint="eastAsia" w:ascii="宋体" w:hAnsi="宋体" w:eastAsia="宋体" w:cs="宋体"/>
                <w:b/>
                <w:bCs/>
                <w:kern w:val="0"/>
                <w:sz w:val="32"/>
                <w:szCs w:val="32"/>
                <w:highlight w:val="none"/>
              </w:rPr>
              <w:t>固定资产占用情况表</w:t>
            </w:r>
          </w:p>
        </w:tc>
      </w:tr>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zh-CN" w:bidi="ar-SA"/>
              </w:rPr>
            </w:pPr>
            <w:r>
              <w:rPr>
                <w:rFonts w:hint="eastAsia" w:ascii="Times New Roman" w:hAnsi="Times New Roman" w:eastAsia="方正仿宋_GBK" w:cs="Times New Roman"/>
                <w:kern w:val="0"/>
                <w:sz w:val="24"/>
                <w:szCs w:val="22"/>
                <w:highlight w:val="none"/>
                <w:lang w:val="en-US" w:eastAsia="uk-UA" w:bidi="ar-SA"/>
              </w:rPr>
              <w:t>编制部门：</w:t>
            </w:r>
            <w:r>
              <w:rPr>
                <w:rFonts w:hint="eastAsia" w:ascii="Times New Roman" w:hAnsi="Times New Roman" w:eastAsia="方正仿宋_GBK" w:cs="Times New Roman"/>
                <w:kern w:val="0"/>
                <w:sz w:val="24"/>
                <w:szCs w:val="22"/>
                <w:highlight w:val="none"/>
                <w:lang w:val="en-US" w:eastAsia="zh-CN" w:bidi="ar-SA"/>
              </w:rPr>
              <w:t>800011 霸州市东杨庄乡卫生院</w:t>
            </w:r>
          </w:p>
        </w:tc>
        <w:tc>
          <w:tcPr>
            <w:tcW w:w="5465"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uk-UA" w:bidi="ar-SA"/>
              </w:rPr>
            </w:pPr>
            <w:r>
              <w:rPr>
                <w:rFonts w:hint="eastAsia" w:ascii="Times New Roman" w:hAnsi="Times New Roman" w:eastAsia="方正仿宋_GBK" w:cs="Times New Roman"/>
                <w:kern w:val="0"/>
                <w:sz w:val="24"/>
                <w:szCs w:val="22"/>
                <w:highlight w:val="none"/>
                <w:lang w:val="en-US" w:eastAsia="uk-UA" w:bidi="ar-SA"/>
              </w:rPr>
              <w:t>截止时间：20</w:t>
            </w:r>
            <w:r>
              <w:rPr>
                <w:rFonts w:hint="eastAsia" w:ascii="Times New Roman" w:hAnsi="Times New Roman" w:eastAsia="方正仿宋_GBK" w:cs="Times New Roman"/>
                <w:kern w:val="0"/>
                <w:sz w:val="24"/>
                <w:szCs w:val="22"/>
                <w:highlight w:val="none"/>
                <w:lang w:val="en-US" w:eastAsia="zh-CN" w:bidi="ar-SA"/>
              </w:rPr>
              <w:t>21</w:t>
            </w:r>
            <w:r>
              <w:rPr>
                <w:rFonts w:hint="eastAsia" w:ascii="Times New Roman" w:hAnsi="Times New Roman" w:eastAsia="方正仿宋_GBK" w:cs="Times New Roman"/>
                <w:kern w:val="0"/>
                <w:sz w:val="24"/>
                <w:szCs w:val="22"/>
                <w:highlight w:val="none"/>
                <w:lang w:val="en-US" w:eastAsia="uk-UA" w:bidi="ar-SA"/>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uk-UA" w:bidi="ar-SA"/>
              </w:rPr>
            </w:pPr>
            <w:r>
              <w:rPr>
                <w:rFonts w:hint="eastAsia" w:ascii="Times New Roman" w:hAnsi="Times New Roman" w:eastAsia="方正仿宋_GBK" w:cs="Times New Roman"/>
                <w:kern w:val="0"/>
                <w:sz w:val="24"/>
                <w:szCs w:val="22"/>
                <w:highlight w:val="none"/>
                <w:lang w:val="en-US" w:eastAsia="uk-UA" w:bidi="ar-SA"/>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uk-UA" w:bidi="ar-SA"/>
              </w:rPr>
            </w:pPr>
            <w:r>
              <w:rPr>
                <w:rFonts w:hint="eastAsia" w:ascii="Times New Roman" w:hAnsi="Times New Roman" w:eastAsia="方正仿宋_GBK" w:cs="Times New Roman"/>
                <w:kern w:val="0"/>
                <w:sz w:val="24"/>
                <w:szCs w:val="22"/>
                <w:highlight w:val="none"/>
                <w:lang w:val="en-US" w:eastAsia="uk-UA" w:bidi="ar-SA"/>
              </w:rPr>
              <w:t>数量</w:t>
            </w:r>
          </w:p>
        </w:tc>
        <w:tc>
          <w:tcPr>
            <w:tcW w:w="546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uk-UA" w:bidi="ar-SA"/>
              </w:rPr>
            </w:pPr>
            <w:r>
              <w:rPr>
                <w:rFonts w:hint="eastAsia" w:ascii="Times New Roman" w:hAnsi="Times New Roman" w:eastAsia="方正仿宋_GBK" w:cs="Times New Roman"/>
                <w:kern w:val="0"/>
                <w:sz w:val="24"/>
                <w:szCs w:val="22"/>
                <w:highlight w:val="none"/>
                <w:lang w:val="en-US" w:eastAsia="uk-UA" w:bidi="ar-SA"/>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uk-UA" w:bidi="ar-SA"/>
              </w:rPr>
            </w:pPr>
            <w:r>
              <w:rPr>
                <w:rFonts w:hint="eastAsia" w:ascii="Times New Roman" w:hAnsi="Times New Roman" w:eastAsia="方正仿宋_GBK" w:cs="Times New Roman"/>
                <w:kern w:val="0"/>
                <w:sz w:val="24"/>
                <w:szCs w:val="22"/>
                <w:highlight w:val="none"/>
                <w:lang w:val="en-US" w:eastAsia="uk-UA" w:bidi="ar-SA"/>
              </w:rPr>
              <w:t>资产总额</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uk-UA" w:bidi="ar-SA"/>
              </w:rPr>
            </w:pPr>
            <w:r>
              <w:rPr>
                <w:rFonts w:hint="eastAsia" w:ascii="Times New Roman" w:hAnsi="Times New Roman" w:eastAsia="方正仿宋_GBK" w:cs="Times New Roman"/>
                <w:kern w:val="0"/>
                <w:sz w:val="24"/>
                <w:szCs w:val="22"/>
                <w:highlight w:val="none"/>
                <w:lang w:val="en-US" w:eastAsia="uk-UA" w:bidi="ar-SA"/>
              </w:rPr>
              <w:t>——</w:t>
            </w:r>
          </w:p>
        </w:tc>
        <w:tc>
          <w:tcPr>
            <w:tcW w:w="54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default" w:ascii="Times New Roman" w:hAnsi="Times New Roman" w:eastAsia="方正仿宋_GBK" w:cs="Times New Roman"/>
                <w:kern w:val="0"/>
                <w:sz w:val="24"/>
                <w:szCs w:val="22"/>
                <w:highlight w:val="none"/>
                <w:lang w:val="en-US" w:eastAsia="zh-CN" w:bidi="ar-SA"/>
              </w:rPr>
            </w:pPr>
            <w:r>
              <w:rPr>
                <w:rFonts w:hint="eastAsia" w:ascii="Times New Roman" w:hAnsi="Times New Roman" w:eastAsia="方正仿宋_GBK" w:cs="Times New Roman"/>
                <w:kern w:val="0"/>
                <w:sz w:val="24"/>
                <w:szCs w:val="22"/>
                <w:highlight w:val="none"/>
                <w:lang w:val="en-US" w:eastAsia="zh-CN" w:bidi="ar-SA"/>
              </w:rPr>
              <w:t>446.40</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uk-UA" w:bidi="ar-SA"/>
              </w:rPr>
            </w:pPr>
            <w:r>
              <w:rPr>
                <w:rFonts w:hint="eastAsia" w:ascii="Times New Roman" w:hAnsi="Times New Roman" w:eastAsia="方正仿宋_GBK" w:cs="Times New Roman"/>
                <w:kern w:val="0"/>
                <w:sz w:val="24"/>
                <w:szCs w:val="22"/>
                <w:highlight w:val="none"/>
                <w:lang w:val="en-US" w:eastAsia="uk-UA" w:bidi="ar-SA"/>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zh-CN" w:bidi="ar-SA"/>
              </w:rPr>
            </w:pPr>
            <w:r>
              <w:rPr>
                <w:rFonts w:hint="eastAsia" w:ascii="Times New Roman" w:hAnsi="Times New Roman" w:eastAsia="方正仿宋_GBK" w:cs="Times New Roman"/>
                <w:kern w:val="0"/>
                <w:sz w:val="24"/>
                <w:szCs w:val="22"/>
                <w:highlight w:val="none"/>
                <w:lang w:val="en-US" w:eastAsia="zh-CN" w:bidi="ar-SA"/>
              </w:rPr>
              <w:t>1,330.00</w:t>
            </w:r>
          </w:p>
        </w:tc>
        <w:tc>
          <w:tcPr>
            <w:tcW w:w="54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zh-CN" w:bidi="ar-SA"/>
              </w:rPr>
            </w:pPr>
            <w:r>
              <w:rPr>
                <w:rFonts w:hint="eastAsia" w:ascii="Times New Roman" w:hAnsi="Times New Roman" w:eastAsia="方正仿宋_GBK" w:cs="Times New Roman"/>
                <w:kern w:val="0"/>
                <w:sz w:val="24"/>
                <w:szCs w:val="22"/>
                <w:highlight w:val="none"/>
                <w:lang w:val="en-US" w:eastAsia="zh-CN" w:bidi="ar-SA"/>
              </w:rPr>
              <w:t>124.71</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uk-UA" w:bidi="ar-SA"/>
              </w:rPr>
            </w:pPr>
            <w:r>
              <w:rPr>
                <w:rFonts w:hint="eastAsia" w:ascii="Times New Roman" w:hAnsi="Times New Roman" w:eastAsia="方正仿宋_GBK" w:cs="Times New Roman"/>
                <w:kern w:val="0"/>
                <w:sz w:val="24"/>
                <w:szCs w:val="22"/>
                <w:highlight w:val="none"/>
                <w:lang w:val="en-US" w:eastAsia="uk-UA" w:bidi="ar-SA"/>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zh-CN" w:bidi="ar-SA"/>
              </w:rPr>
            </w:pPr>
            <w:r>
              <w:rPr>
                <w:rFonts w:hint="eastAsia" w:ascii="Times New Roman" w:hAnsi="Times New Roman" w:eastAsia="方正仿宋_GBK" w:cs="Times New Roman"/>
                <w:kern w:val="0"/>
                <w:sz w:val="24"/>
                <w:szCs w:val="22"/>
                <w:highlight w:val="none"/>
                <w:lang w:val="en-US" w:eastAsia="zh-CN" w:bidi="ar-SA"/>
              </w:rPr>
              <w:t>1,200.00</w:t>
            </w:r>
          </w:p>
        </w:tc>
        <w:tc>
          <w:tcPr>
            <w:tcW w:w="54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zh-CN" w:bidi="ar-SA"/>
              </w:rPr>
            </w:pPr>
            <w:r>
              <w:rPr>
                <w:rFonts w:hint="eastAsia" w:ascii="Times New Roman" w:hAnsi="Times New Roman" w:eastAsia="方正仿宋_GBK" w:cs="Times New Roman"/>
                <w:kern w:val="0"/>
                <w:sz w:val="24"/>
                <w:szCs w:val="22"/>
                <w:highlight w:val="none"/>
                <w:lang w:val="en-US" w:eastAsia="zh-CN" w:bidi="ar-SA"/>
              </w:rPr>
              <w:t>82.58</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uk-UA" w:bidi="ar-SA"/>
              </w:rPr>
            </w:pPr>
            <w:r>
              <w:rPr>
                <w:rFonts w:hint="eastAsia" w:ascii="Times New Roman" w:hAnsi="Times New Roman" w:eastAsia="方正仿宋_GBK" w:cs="Times New Roman"/>
                <w:kern w:val="0"/>
                <w:sz w:val="24"/>
                <w:szCs w:val="22"/>
                <w:highlight w:val="none"/>
                <w:lang w:val="en-US" w:eastAsia="uk-UA" w:bidi="ar-SA"/>
              </w:rPr>
              <w:t>2、车辆（台、辆）</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zh-CN" w:bidi="ar-SA"/>
              </w:rPr>
            </w:pPr>
            <w:r>
              <w:rPr>
                <w:rFonts w:hint="eastAsia" w:ascii="Times New Roman" w:hAnsi="Times New Roman" w:eastAsia="方正仿宋_GBK" w:cs="Times New Roman"/>
                <w:kern w:val="0"/>
                <w:sz w:val="24"/>
                <w:szCs w:val="22"/>
                <w:highlight w:val="none"/>
                <w:lang w:val="en-US" w:eastAsia="zh-CN" w:bidi="ar-SA"/>
              </w:rPr>
              <w:t>3</w:t>
            </w:r>
          </w:p>
        </w:tc>
        <w:tc>
          <w:tcPr>
            <w:tcW w:w="54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zh-CN" w:bidi="ar-SA"/>
              </w:rPr>
            </w:pPr>
            <w:r>
              <w:rPr>
                <w:rFonts w:hint="eastAsia" w:ascii="Times New Roman" w:hAnsi="Times New Roman" w:eastAsia="方正仿宋_GBK" w:cs="Times New Roman"/>
                <w:kern w:val="0"/>
                <w:sz w:val="24"/>
                <w:szCs w:val="22"/>
                <w:highlight w:val="none"/>
                <w:lang w:val="en-US" w:eastAsia="zh-CN" w:bidi="ar-SA"/>
              </w:rPr>
              <w:t>45.08</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uk-UA" w:bidi="ar-SA"/>
              </w:rPr>
            </w:pPr>
            <w:r>
              <w:rPr>
                <w:rFonts w:hint="eastAsia" w:ascii="Times New Roman" w:hAnsi="Times New Roman" w:eastAsia="方正仿宋_GBK" w:cs="Times New Roman"/>
                <w:kern w:val="0"/>
                <w:sz w:val="24"/>
                <w:szCs w:val="22"/>
                <w:highlight w:val="none"/>
                <w:lang w:val="en-US" w:eastAsia="uk-UA" w:bidi="ar-SA"/>
              </w:rPr>
              <w:t>3、单价在20万元以上的设备</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zh-CN" w:bidi="ar-SA"/>
              </w:rPr>
            </w:pPr>
          </w:p>
        </w:tc>
        <w:tc>
          <w:tcPr>
            <w:tcW w:w="54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zh-CN" w:bidi="ar-SA"/>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uk-UA" w:bidi="ar-SA"/>
              </w:rPr>
            </w:pPr>
            <w:r>
              <w:rPr>
                <w:rFonts w:hint="eastAsia" w:ascii="Times New Roman" w:hAnsi="Times New Roman" w:eastAsia="方正仿宋_GBK" w:cs="Times New Roman"/>
                <w:kern w:val="0"/>
                <w:sz w:val="24"/>
                <w:szCs w:val="22"/>
                <w:highlight w:val="none"/>
                <w:lang w:val="en-US" w:eastAsia="uk-UA" w:bidi="ar-SA"/>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eastAsia" w:ascii="Times New Roman" w:hAnsi="Times New Roman" w:eastAsia="方正仿宋_GBK" w:cs="Times New Roman"/>
                <w:kern w:val="0"/>
                <w:sz w:val="24"/>
                <w:szCs w:val="22"/>
                <w:highlight w:val="none"/>
                <w:lang w:val="en-US" w:eastAsia="uk-UA" w:bidi="ar-SA"/>
              </w:rPr>
            </w:pPr>
          </w:p>
        </w:tc>
        <w:tc>
          <w:tcPr>
            <w:tcW w:w="54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left="804" w:leftChars="383" w:firstLine="240" w:firstLineChars="100"/>
              <w:jc w:val="left"/>
              <w:textAlignment w:val="auto"/>
              <w:rPr>
                <w:rFonts w:hint="default" w:ascii="Times New Roman" w:hAnsi="Times New Roman" w:eastAsia="方正仿宋_GBK" w:cs="Times New Roman"/>
                <w:kern w:val="0"/>
                <w:sz w:val="24"/>
                <w:szCs w:val="22"/>
                <w:highlight w:val="none"/>
                <w:lang w:val="en-US" w:eastAsia="zh-CN" w:bidi="ar-SA"/>
              </w:rPr>
            </w:pPr>
            <w:r>
              <w:rPr>
                <w:rFonts w:hint="eastAsia" w:ascii="Times New Roman" w:hAnsi="Times New Roman" w:eastAsia="方正仿宋_GBK" w:cs="Times New Roman"/>
                <w:kern w:val="0"/>
                <w:sz w:val="24"/>
                <w:szCs w:val="22"/>
                <w:highlight w:val="none"/>
                <w:lang w:val="en-US" w:eastAsia="zh-CN" w:bidi="ar-SA"/>
              </w:rPr>
              <w:t>276.61</w:t>
            </w:r>
          </w:p>
        </w:tc>
      </w:tr>
    </w:tbl>
    <w:p>
      <w:pPr>
        <w:keepNext w:val="0"/>
        <w:keepLines w:val="0"/>
        <w:pageBreakBefore w:val="0"/>
        <w:kinsoku/>
        <w:wordWrap/>
        <w:overflowPunct/>
        <w:topLinePunct w:val="0"/>
        <w:autoSpaceDE/>
        <w:autoSpaceDN/>
        <w:bidi w:val="0"/>
        <w:adjustRightInd/>
        <w:snapToGrid/>
        <w:spacing w:before="0" w:after="0" w:line="360" w:lineRule="auto"/>
        <w:ind w:firstLine="640"/>
        <w:jc w:val="left"/>
        <w:textAlignment w:val="auto"/>
        <w:outlineLvl w:val="9"/>
        <w:rPr>
          <w:rFonts w:ascii="Times New Roman" w:hAnsi="Times New Roman" w:eastAsia="方正仿宋_GBK" w:cs="Times New Roman"/>
          <w:color w:val="000000"/>
          <w:sz w:val="32"/>
        </w:rPr>
      </w:pPr>
    </w:p>
    <w:p>
      <w:pPr>
        <w:keepNext w:val="0"/>
        <w:keepLines w:val="0"/>
        <w:pageBreakBefore w:val="0"/>
        <w:kinsoku/>
        <w:wordWrap/>
        <w:overflowPunct/>
        <w:topLinePunct w:val="0"/>
        <w:autoSpaceDE/>
        <w:autoSpaceDN/>
        <w:bidi w:val="0"/>
        <w:adjustRightInd/>
        <w:snapToGrid/>
        <w:spacing w:before="0" w:after="0" w:line="360" w:lineRule="auto"/>
        <w:ind w:firstLine="640"/>
        <w:jc w:val="left"/>
        <w:textAlignment w:val="auto"/>
        <w:outlineLvl w:val="9"/>
      </w:pPr>
      <w:r>
        <w:rPr>
          <w:rFonts w:ascii="Times New Roman" w:hAnsi="Times New Roman" w:eastAsia="方正仿宋_GBK" w:cs="Times New Roman"/>
          <w:color w:val="000000"/>
          <w:sz w:val="32"/>
        </w:rPr>
        <w:t xml:space="preserve"> </w:t>
      </w: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23" w:name="_Toc23056"/>
      <w:bookmarkStart w:id="24" w:name="_Toc28477"/>
      <w:r>
        <w:rPr>
          <w:rFonts w:ascii="黑体" w:hAnsi="黑体" w:eastAsia="黑体" w:cs="黑体"/>
          <w:color w:val="000000"/>
          <w:sz w:val="32"/>
        </w:rPr>
        <w:t>八、名词解释</w:t>
      </w:r>
      <w:bookmarkEnd w:id="23"/>
      <w:bookmarkEnd w:id="24"/>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25" w:name="_Toc28482"/>
      <w:bookmarkStart w:id="26" w:name="_Toc25255"/>
      <w:r>
        <w:rPr>
          <w:rFonts w:ascii="黑体" w:hAnsi="黑体" w:eastAsia="黑体" w:cs="黑体"/>
          <w:color w:val="000000"/>
          <w:sz w:val="32"/>
        </w:rPr>
        <w:t>九、其他需要说明的事项</w:t>
      </w:r>
      <w:bookmarkEnd w:id="25"/>
      <w:bookmarkEnd w:id="26"/>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keepNext w:val="0"/>
        <w:keepLines w:val="0"/>
        <w:pageBreakBefore w:val="0"/>
        <w:kinsoku/>
        <w:wordWrap/>
        <w:overflowPunct/>
        <w:topLinePunct w:val="0"/>
        <w:autoSpaceDE/>
        <w:autoSpaceDN/>
        <w:bidi w:val="0"/>
        <w:adjustRightInd/>
        <w:snapToGrid/>
        <w:spacing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D1EBD0"/>
    <w:multiLevelType w:val="singleLevel"/>
    <w:tmpl w:val="E1D1EBD0"/>
    <w:lvl w:ilvl="0" w:tentative="0">
      <w:start w:val="3"/>
      <w:numFmt w:val="chineseCounting"/>
      <w:suff w:val="nothing"/>
      <w:lvlText w:val="%1、"/>
      <w:lvlJc w:val="left"/>
      <w:rPr>
        <w:rFonts w:hint="eastAsia"/>
      </w:rPr>
    </w:lvl>
  </w:abstractNum>
  <w:abstractNum w:abstractNumId="1">
    <w:nsid w:val="1AC376A3"/>
    <w:multiLevelType w:val="singleLevel"/>
    <w:tmpl w:val="1AC376A3"/>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hNWNkYTFlYjhkMmM1ODUxMjNlYTg1OTg4MzA2MjQifQ=="/>
  </w:docVars>
  <w:rsids>
    <w:rsidRoot w:val="7C0975FB"/>
    <w:rsid w:val="05BB61F9"/>
    <w:rsid w:val="07A706B8"/>
    <w:rsid w:val="09471D64"/>
    <w:rsid w:val="0AA90FD5"/>
    <w:rsid w:val="0B2C533C"/>
    <w:rsid w:val="0B8E4636"/>
    <w:rsid w:val="0C154871"/>
    <w:rsid w:val="0CD753C6"/>
    <w:rsid w:val="0DDA26BD"/>
    <w:rsid w:val="0E4212CC"/>
    <w:rsid w:val="0F3C3F40"/>
    <w:rsid w:val="15C348B2"/>
    <w:rsid w:val="19A1181D"/>
    <w:rsid w:val="1A3D1E3F"/>
    <w:rsid w:val="225676E1"/>
    <w:rsid w:val="24BE43E9"/>
    <w:rsid w:val="25AA64E4"/>
    <w:rsid w:val="28965553"/>
    <w:rsid w:val="28F533E4"/>
    <w:rsid w:val="2CCF6898"/>
    <w:rsid w:val="2D892776"/>
    <w:rsid w:val="2E545688"/>
    <w:rsid w:val="2F635F5B"/>
    <w:rsid w:val="2F7F730E"/>
    <w:rsid w:val="31D02099"/>
    <w:rsid w:val="31F10903"/>
    <w:rsid w:val="329967FB"/>
    <w:rsid w:val="34891E02"/>
    <w:rsid w:val="35B77621"/>
    <w:rsid w:val="366816CF"/>
    <w:rsid w:val="395D355B"/>
    <w:rsid w:val="3A0B3FD7"/>
    <w:rsid w:val="3A1D2384"/>
    <w:rsid w:val="3F3B2A2F"/>
    <w:rsid w:val="3F764159"/>
    <w:rsid w:val="3FBA1178"/>
    <w:rsid w:val="426D1FB5"/>
    <w:rsid w:val="42EA3048"/>
    <w:rsid w:val="445251C6"/>
    <w:rsid w:val="45044E2E"/>
    <w:rsid w:val="526E6CE0"/>
    <w:rsid w:val="53003400"/>
    <w:rsid w:val="541D1F08"/>
    <w:rsid w:val="577A04B5"/>
    <w:rsid w:val="58DB6D69"/>
    <w:rsid w:val="5B7A2449"/>
    <w:rsid w:val="5B957F0F"/>
    <w:rsid w:val="5BC4287E"/>
    <w:rsid w:val="5BD472E7"/>
    <w:rsid w:val="5CCE5DD7"/>
    <w:rsid w:val="5E215BFD"/>
    <w:rsid w:val="60640B60"/>
    <w:rsid w:val="61564CA6"/>
    <w:rsid w:val="61D20A1F"/>
    <w:rsid w:val="63221FAE"/>
    <w:rsid w:val="638640F9"/>
    <w:rsid w:val="63AB2ED2"/>
    <w:rsid w:val="64AA0E3E"/>
    <w:rsid w:val="6A737462"/>
    <w:rsid w:val="6A9D70BB"/>
    <w:rsid w:val="6CC6245B"/>
    <w:rsid w:val="6E657F70"/>
    <w:rsid w:val="6ED37510"/>
    <w:rsid w:val="6F27147F"/>
    <w:rsid w:val="6FCA5CB0"/>
    <w:rsid w:val="70242E46"/>
    <w:rsid w:val="747F6106"/>
    <w:rsid w:val="75C42191"/>
    <w:rsid w:val="77907857"/>
    <w:rsid w:val="799D4616"/>
    <w:rsid w:val="7C0975FB"/>
    <w:rsid w:val="7D737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7">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8">
    <w:name w:val="Normal (Web)"/>
    <w:basedOn w:val="1"/>
    <w:qFormat/>
    <w:uiPriority w:val="0"/>
    <w:pPr>
      <w:spacing w:beforeAutospacing="1" w:afterAutospacing="1"/>
      <w:jc w:val="left"/>
    </w:pPr>
    <w:rPr>
      <w:rFonts w:cs="Times New Roman"/>
      <w:kern w:val="0"/>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3">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8">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0">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1">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6">
    <w:name w:val="WPSOffice手动目录 1"/>
    <w:uiPriority w:val="0"/>
    <w:pPr>
      <w:ind w:leftChars="0"/>
    </w:pPr>
    <w:rPr>
      <w:rFonts w:ascii="Times New Roman" w:hAnsi="Times New Roman" w:eastAsia="宋体" w:cs="Times New Roman"/>
      <w:sz w:val="20"/>
      <w:szCs w:val="20"/>
    </w:rPr>
  </w:style>
  <w:style w:type="paragraph" w:customStyle="1" w:styleId="27">
    <w:name w:val="WPSOffice手动目录 2"/>
    <w:qFormat/>
    <w:uiPriority w:val="0"/>
    <w:pPr>
      <w:ind w:leftChars="200"/>
    </w:pPr>
    <w:rPr>
      <w:rFonts w:ascii="Times New Roman" w:hAnsi="Times New Roman" w:eastAsia="宋体" w:cs="Times New Roman"/>
      <w:sz w:val="20"/>
      <w:szCs w:val="20"/>
    </w:rPr>
  </w:style>
  <w:style w:type="paragraph" w:customStyle="1" w:styleId="28">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43</Pages>
  <Words>6845</Words>
  <Characters>7571</Characters>
  <Lines>0</Lines>
  <Paragraphs>0</Paragraphs>
  <TotalTime>0</TotalTime>
  <ScaleCrop>false</ScaleCrop>
  <LinksUpToDate>false</LinksUpToDate>
  <CharactersWithSpaces>7788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2022-03-04T09:14:00Z</dcterms:created>
  <dc:creator>田大园</dc:creator>
  <cp:lastModifiedBy>Admin</cp:lastModifiedBy>
  <dcterms:modified xsi:type="dcterms:W3CDTF">2023-09-20T01:09:59Z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2B4E943EECE543199EEA4A265AB06E83_12</vt:lpwstr>
  </property>
</Properties>
</file>